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280"/>
          <w:szCs w:val="280"/>
        </w:rPr>
        <w:t xml:space="preserve">MANIPAL UNIVERSITY JAIPUR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55555"/>
          <w:sz w:val="240"/>
          <w:szCs w:val="240"/>
        </w:rPr>
        <w:t xml:space="preserve">Indo-Swiss Joint Research Programme — MJRP Round 2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D4AA"/>
          <w:sz w:val="960"/>
          <w:szCs w:val="960"/>
        </w:rPr>
        <w:t xml:space="preserve">[ TRACE ]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a1a2e"/>
          <w:sz w:val="320"/>
          <w:szCs w:val="320"/>
        </w:rPr>
        <w:t xml:space="preserve">Enterprise Process Mining &amp; Carbon Intelligence Platform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20"/>
          <w:szCs w:val="220"/>
        </w:rPr>
        <w:t xml:space="preserve">Submitted by: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2e"/>
          <w:sz w:val="240"/>
          <w:szCs w:val="240"/>
        </w:rPr>
        <w:t xml:space="preserve">Rudra Pratap Singh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2e"/>
          <w:sz w:val="240"/>
          <w:szCs w:val="240"/>
        </w:rPr>
        <w:t xml:space="preserve">Divayom Sengar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1a2e"/>
          <w:sz w:val="240"/>
          <w:szCs w:val="240"/>
        </w:rPr>
        <w:t xml:space="preserve">Swastik Anurag Vyas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20"/>
          <w:szCs w:val="220"/>
        </w:rPr>
        <w:t xml:space="preserve">B.Tech Information Technology | 3rd Year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55555"/>
          <w:sz w:val="200"/>
          <w:szCs w:val="200"/>
        </w:rPr>
        <w:t xml:space="preserve">Hackathon: HackCulture | June 2026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vAlign w:val="center"/>
          <w:docGrid w:linePitch="360"/>
        </w:sectPr>
      </w:pPr>
    </w:p>
    <w:p>
      <w:pPr>
        <w:keepNext/>
        <w:pBdr>
          <w:bottom w:val="single" w:color="00D4AA" w:sz="8" w:space="4"/>
        </w:pBdr>
        <w:spacing w:after="180" w:before="0"/>
      </w:pPr>
      <w:r>
        <w:rPr>
          <w:rFonts w:ascii="Calibri" w:cs="Calibri" w:eastAsia="Calibri" w:hAnsi="Calibri"/>
          <w:b/>
          <w:bCs/>
          <w:color w:val="1a1a2e"/>
          <w:sz w:val="360"/>
          <w:szCs w:val="360"/>
        </w:rPr>
        <w:t xml:space="preserve">Executive Summary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TRACE is a next-generation enterprise platform that unifies Object-Centric Event Log (OCEL 2.0) process mining with real-time carbon footprint intelligence. Built for the Indo-Swiss Joint Research Programme (MJRP Round 2) at Manipal University Jaipur, TRACE enables organizations to discover, monitor, and optimize their supply chain and logistics processes — not just for operational efficiency, but for measurable environmental compliance and ESG reporting.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Unlike traditional process mining tools that operate on flat, single-case event logs, TRACE natively handles multi-object process data — enabling analysis of how multiple entities (orders, shipments, trucks, suppliers) interact across a single process simultaneously.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0D4AA"/>
          <w:sz w:val="280"/>
          <w:szCs w:val="280"/>
        </w:rPr>
        <w:t xml:space="preserve">Key Differentiators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First open-source platform combining OCEL 2.0 conformance checking with carbon budget fitness scoring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Novel dual-objective conformance engine: Sequence Fitness + Carbon Fitness Score (CFS)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Explicit academic differentiation from Celonis and RWTH Aachen's OCEAn (2025)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End-to-end: event log ingestion → violation detection → ESG report generation → LLM copilot insights</w:t>
      </w:r>
    </w:p>
    <w:p>
      <w:pPr>
        <w:spacing w:after="160"/>
      </w:pPr>
    </w:p>
    <w:p>
      <w:pPr>
        <w:keepNext/>
        <w:pBdr>
          <w:bottom w:val="single" w:color="00D4AA" w:sz="8" w:space="4"/>
        </w:pBdr>
        <w:spacing w:after="180" w:before="0"/>
      </w:pPr>
      <w:r>
        <w:br w:type="page"/>
      </w:r>
      <w:r>
        <w:rPr>
          <w:rFonts w:ascii="Calibri" w:cs="Calibri" w:eastAsia="Calibri" w:hAnsi="Calibri"/>
          <w:b/>
          <w:bCs/>
          <w:color w:val="1a1a2e"/>
          <w:sz w:val="360"/>
          <w:szCs w:val="360"/>
        </w:rPr>
        <w:t xml:space="preserve">Problem Statement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0D4AA"/>
          <w:sz w:val="280"/>
          <w:szCs w:val="280"/>
        </w:rPr>
        <w:t xml:space="preserve">2.1 The Process Mining Gap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Traditional process mining tools like Celonis analyze business processes using flat XES logs — one case, one object. In reality, modern supply chains are multi-object: a single shipment involves orders, drivers, warehouses, and suppliers — all interacting simultaneously. Existing tools cannot model this complexity.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0D4AA"/>
          <w:sz w:val="280"/>
          <w:szCs w:val="280"/>
        </w:rPr>
        <w:t xml:space="preserve">2.2 The Carbon Accountability Gap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Enterprises face increasing regulatory and ESG pressure to track and report Scope 1, 2, and 3 emissions across their operations. However, no existing process mining platform natively integrates carbon footprint analysis into its conformance checking engine. Carbon data exists in silos — disconnected from process execution data.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0D4AA"/>
          <w:sz w:val="280"/>
          <w:szCs w:val="280"/>
        </w:rPr>
        <w:t xml:space="preserve">2.3 The Reporting Gap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ESG reports (like India's BRSR framework) require structured, auditable data on emissions, resource consumption, and process deviations. Today, this is done manually — error-prone, time-consuming, and not linked to actual process behavior.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a1a2e"/>
          <w:sz w:val="240"/>
          <w:szCs w:val="240"/>
        </w:rPr>
        <w:t xml:space="preserve">TRACE solves all three.</w:t>
      </w:r>
    </w:p>
    <w:p>
      <w:pPr>
        <w:spacing w:after="160"/>
      </w:pPr>
    </w:p>
    <w:p>
      <w:pPr>
        <w:keepNext/>
        <w:pBdr>
          <w:bottom w:val="single" w:color="00D4AA" w:sz="8" w:space="4"/>
        </w:pBdr>
        <w:spacing w:after="180" w:before="0"/>
      </w:pPr>
      <w:r>
        <w:br w:type="page"/>
      </w:r>
      <w:r>
        <w:rPr>
          <w:rFonts w:ascii="Calibri" w:cs="Calibri" w:eastAsia="Calibri" w:hAnsi="Calibri"/>
          <w:b/>
          <w:bCs/>
          <w:color w:val="1a1a2e"/>
          <w:sz w:val="360"/>
          <w:szCs w:val="360"/>
        </w:rPr>
        <w:t xml:space="preserve">Solution Overview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0D4AA"/>
          <w:sz w:val="280"/>
          <w:szCs w:val="280"/>
        </w:rPr>
        <w:t xml:space="preserve">3.1 Platform Architecture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TRACE is a full-stack web platform with three integrated layers: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bottom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1a1a2e"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Layer</w:t>
            </w:r>
          </w:p>
        </w:tc>
        <w:tc>
          <w:tcPr>
            <w:tcW w:type="dxa" w:w="2300"/>
            <w:shd w:fill="1a1a2e"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Technology</w:t>
            </w:r>
          </w:p>
        </w:tc>
        <w:tc>
          <w:tcPr>
            <w:tcW w:type="dxa" w:w="3700"/>
            <w:shd w:fill="1a1a2e"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Purpose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Frontend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Next.js 16, TailwindCSS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Dashboard, ESG Reports, Copilot UI</w:t>
            </w:r>
          </w:p>
        </w:tc>
      </w:tr>
      <w:tr>
        <w:tc>
          <w:tcPr>
            <w:tcW w:type="dxa" w:w="17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Backend</w:t>
            </w:r>
          </w:p>
        </w:tc>
        <w:tc>
          <w:tcPr>
            <w:tcW w:type="dxa" w:w="23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FastAPI (Python)</w:t>
            </w:r>
          </w:p>
        </w:tc>
        <w:tc>
          <w:tcPr>
            <w:tcW w:type="dxa" w:w="37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Process mining engine, API routes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Intelligence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pm4py, Ollama LLM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OCEL parsing, conformance, AI insights</w:t>
            </w:r>
          </w:p>
        </w:tc>
      </w:tr>
      <w:tr>
        <w:tc>
          <w:tcPr>
            <w:tcW w:type="dxa" w:w="17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Database</w:t>
            </w:r>
          </w:p>
        </w:tc>
        <w:tc>
          <w:tcPr>
            <w:tcW w:type="dxa" w:w="23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PostgreSQL</w:t>
            </w:r>
          </w:p>
        </w:tc>
        <w:tc>
          <w:tcPr>
            <w:tcW w:type="dxa" w:w="37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Event log storage, audit trails</w:t>
            </w:r>
          </w:p>
        </w:tc>
      </w:tr>
    </w:tbl>
    <w:p>
      <w:pPr>
        <w:spacing w:after="16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0D4AA"/>
          <w:sz w:val="280"/>
          <w:szCs w:val="280"/>
        </w:rPr>
        <w:t xml:space="preserve">3.2 Core Engine: Dual-Objective Conformance Checking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TRACE introduces a novel conformance checking methodology that evaluates process executions against two independent objectives simultaneously: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a1a2e"/>
          <w:sz w:val="220"/>
          <w:szCs w:val="220"/>
        </w:rPr>
        <w:t xml:space="preserve">Objective 1 — Sequence Fitness: </w:t>
      </w:r>
      <w:r>
        <w:rPr>
          <w:rFonts w:ascii="Calibri" w:cs="Calibri" w:eastAsia="Calibri" w:hAnsi="Calibri"/>
          <w:color w:val="222222"/>
          <w:sz w:val="220"/>
          <w:szCs w:val="220"/>
        </w:rPr>
        <w:t xml:space="preserve">Measures how closely the actual execution trace follows the normative process model (BPMN/Petri Net). Score range: 0.0–1.0.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a1a2e"/>
          <w:sz w:val="220"/>
          <w:szCs w:val="220"/>
        </w:rPr>
        <w:t xml:space="preserve">Objective 2 — Carbon Fitness Score (CFS): </w:t>
      </w:r>
      <w:r>
        <w:rPr>
          <w:rFonts w:ascii="Calibri" w:cs="Calibri" w:eastAsia="Calibri" w:hAnsi="Calibri"/>
          <w:color w:val="222222"/>
          <w:sz w:val="220"/>
          <w:szCs w:val="220"/>
        </w:rPr>
        <w:t xml:space="preserve">Measures how well the process execution stays within its allocated carbon budget. Computed as:</w:t>
      </w:r>
    </w:p>
    <w:p>
      <w:pPr>
        <w:spacing w:after="140" w:before="8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00"/>
          <w:szCs w:val="200"/>
        </w:rPr>
        <w:t xml:space="preserve">CFS = 1 - (actual_emissions / carbon_budget_threshold)     [Clamped to 0.0–1.0]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a1a2e"/>
          <w:sz w:val="220"/>
          <w:szCs w:val="220"/>
        </w:rPr>
        <w:t xml:space="preserve">Combined Compliance Score:</w:t>
      </w:r>
    </w:p>
    <w:p>
      <w:pPr>
        <w:spacing w:after="140" w:before="80"/>
        <w:jc w:val="center"/>
      </w:pPr>
      <w:r>
        <w:rPr>
          <w:rFonts w:ascii="Courier New" w:cs="Courier New" w:eastAsia="Courier New" w:hAnsi="Courier New"/>
          <w:b/>
          <w:bCs/>
          <w:color w:val="1a1a2e"/>
          <w:sz w:val="200"/>
          <w:szCs w:val="200"/>
        </w:rPr>
        <w:t xml:space="preserve">Compliance = α × Sequence_Fitness + (1−α) × CFS     [Default: α = 0.6]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Processes that exceed their carbon budget are flagged as "Carbon Violations" — a concept not present in any existing open-source process mining tool.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0D4AA"/>
          <w:sz w:val="280"/>
          <w:szCs w:val="280"/>
        </w:rPr>
        <w:t xml:space="preserve">3.3 OCEL 2.0 Support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TRACE natively ingests OCEL 2.0 format event logs — the latest standard from IEEE for object-centric process mining. This allows simultaneous tracking of multiple object types (orders, shipments, vehicles, suppliers) within a single unified event log.</w:t>
      </w:r>
    </w:p>
    <w:p>
      <w:pPr>
        <w:spacing w:after="160"/>
      </w:pPr>
    </w:p>
    <w:p>
      <w:pPr>
        <w:keepNext/>
        <w:pBdr>
          <w:bottom w:val="single" w:color="00D4AA" w:sz="8" w:space="4"/>
        </w:pBdr>
        <w:spacing w:after="180" w:before="0"/>
      </w:pPr>
      <w:r>
        <w:br w:type="page"/>
      </w:r>
      <w:r>
        <w:rPr>
          <w:rFonts w:ascii="Calibri" w:cs="Calibri" w:eastAsia="Calibri" w:hAnsi="Calibri"/>
          <w:b/>
          <w:bCs/>
          <w:color w:val="1a1a2e"/>
          <w:sz w:val="360"/>
          <w:szCs w:val="360"/>
        </w:rPr>
        <w:t xml:space="preserve">Key Features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0D4AA"/>
          <w:sz w:val="280"/>
          <w:szCs w:val="280"/>
        </w:rPr>
        <w:t xml:space="preserve">4.1 Process Discovery &amp; Visualization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Automatic discovery of process variants from uploaded event logs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Object-centric directly-follows graph (OC-DFG) generation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Variant clustering using K-Means (grouping similar execution patterns)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Interactive process flow visualization on the dashboard</w:t>
      </w:r>
    </w:p>
    <w:p>
      <w:pPr>
        <w:spacing w:after="12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0D4AA"/>
          <w:sz w:val="280"/>
          <w:szCs w:val="280"/>
        </w:rPr>
        <w:t xml:space="preserve">4.2 Carbon Intelligence Engine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Per-activity emission factor mapping (configurable by transport mode, supplier, region)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Automatic Scope 1 / Scope 2 / Scope 3 emissions categorization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Carbon budget threshold configuration per process type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Real-time violation flagging when carbon budgets are breached</w:t>
      </w:r>
    </w:p>
    <w:p>
      <w:pPr>
        <w:spacing w:after="12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0D4AA"/>
          <w:sz w:val="280"/>
          <w:szCs w:val="280"/>
        </w:rPr>
        <w:t xml:space="preserve">4.3 ESG Reporting Module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Automated BRSR (Business Responsibility and Sustainability Report) generation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PDF export with branded report layout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Metrics: total emissions, emission intensity, compliance rate, hotspot identification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Historical trend comparison across reporting periods</w:t>
      </w:r>
    </w:p>
    <w:p>
      <w:pPr>
        <w:spacing w:after="12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0D4AA"/>
          <w:sz w:val="280"/>
          <w:szCs w:val="280"/>
        </w:rPr>
        <w:t xml:space="preserve">4.4 AI Copilot (Ollama LLM)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Local LLM integration via Ollama (no cloud API dependency — privacy-preserving)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Natural language querying of process mining results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Automated root cause analysis for violations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Recommendation generation for process optimization and emission reduction</w:t>
      </w:r>
    </w:p>
    <w:p>
      <w:pPr>
        <w:spacing w:after="12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0D4AA"/>
          <w:sz w:val="280"/>
          <w:szCs w:val="280"/>
        </w:rPr>
        <w:t xml:space="preserve">4.5 Violation Management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Complete violation log with case ID, activity, violation type, severity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Separate tabs for Sequence Violations vs Carbon Violations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Exportable violation reports for audit trails</w:t>
      </w:r>
    </w:p>
    <w:p>
      <w:pPr>
        <w:spacing w:after="160"/>
      </w:pPr>
    </w:p>
    <w:p>
      <w:pPr>
        <w:keepNext/>
        <w:pBdr>
          <w:bottom w:val="single" w:color="00D4AA" w:sz="8" w:space="4"/>
        </w:pBdr>
        <w:spacing w:after="180" w:before="0"/>
      </w:pPr>
      <w:r>
        <w:br w:type="page"/>
      </w:r>
      <w:r>
        <w:rPr>
          <w:rFonts w:ascii="Calibri" w:cs="Calibri" w:eastAsia="Calibri" w:hAnsi="Calibri"/>
          <w:b/>
          <w:bCs/>
          <w:color w:val="1a1a2e"/>
          <w:sz w:val="360"/>
          <w:szCs w:val="360"/>
        </w:rPr>
        <w:t xml:space="preserve">Research Contribution &amp; Novelty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0D4AA"/>
          <w:sz w:val="280"/>
          <w:szCs w:val="280"/>
        </w:rPr>
        <w:t xml:space="preserve">5.1 Academic Positioning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TRACE builds on and explicitly extends the state-of-the-art: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bottom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a1a2e"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Dimension</w:t>
            </w:r>
          </w:p>
        </w:tc>
        <w:tc>
          <w:tcPr>
            <w:tcW w:type="dxa" w:w="1800"/>
            <w:shd w:fill="1a1a2e"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Celonis</w:t>
            </w:r>
          </w:p>
        </w:tc>
        <w:tc>
          <w:tcPr>
            <w:tcW w:type="dxa" w:w="1900"/>
            <w:shd w:fill="1a1a2e"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RWTH OCEAn (2025)</w:t>
            </w:r>
          </w:p>
        </w:tc>
        <w:tc>
          <w:tcPr>
            <w:tcW w:type="dxa" w:w="1700"/>
            <w:shd w:fill="1a1a2e"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TRACE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Log Format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XES (flat)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OCEL 2.0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OCEL 2.0</w:t>
            </w:r>
          </w:p>
        </w:tc>
      </w:tr>
      <w:tr>
        <w:tc>
          <w:tcPr>
            <w:tcW w:type="dxa" w:w="23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Carbon Analysis</w:t>
            </w:r>
          </w:p>
        </w:tc>
        <w:tc>
          <w:tcPr>
            <w:tcW w:type="dxa" w:w="18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None</w:t>
            </w:r>
          </w:p>
        </w:tc>
        <w:tc>
          <w:tcPr>
            <w:tcW w:type="dxa" w:w="19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None</w:t>
            </w:r>
          </w:p>
        </w:tc>
        <w:tc>
          <w:tcPr>
            <w:tcW w:type="dxa" w:w="17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Native CFS engine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Dual-objective conformance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No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No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Yes</w:t>
            </w:r>
          </w:p>
        </w:tc>
      </w:tr>
      <w:tr>
        <w:tc>
          <w:tcPr>
            <w:tcW w:type="dxa" w:w="23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LLM Copilot</w:t>
            </w:r>
          </w:p>
        </w:tc>
        <w:tc>
          <w:tcPr>
            <w:tcW w:type="dxa" w:w="18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Paid add-on</w:t>
            </w:r>
          </w:p>
        </w:tc>
        <w:tc>
          <w:tcPr>
            <w:tcW w:type="dxa" w:w="19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No</w:t>
            </w:r>
          </w:p>
        </w:tc>
        <w:tc>
          <w:tcPr>
            <w:tcW w:type="dxa" w:w="17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Local Ollama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ESG/BRSR Reports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No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No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Automated</w:t>
            </w:r>
          </w:p>
        </w:tc>
      </w:tr>
      <w:tr>
        <w:tc>
          <w:tcPr>
            <w:tcW w:type="dxa" w:w="23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Open Source</w:t>
            </w:r>
          </w:p>
        </w:tc>
        <w:tc>
          <w:tcPr>
            <w:tcW w:type="dxa" w:w="18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No</w:t>
            </w:r>
          </w:p>
        </w:tc>
        <w:tc>
          <w:tcPr>
            <w:tcW w:type="dxa" w:w="19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Research only</w:t>
            </w:r>
          </w:p>
        </w:tc>
        <w:tc>
          <w:tcPr>
            <w:tcW w:type="dxa" w:w="17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Yes</w:t>
            </w:r>
          </w:p>
        </w:tc>
      </w:tr>
    </w:tbl>
    <w:p>
      <w:pPr>
        <w:spacing w:after="16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0D4AA"/>
          <w:sz w:val="280"/>
          <w:szCs w:val="280"/>
        </w:rPr>
        <w:t xml:space="preserve">5.2 Novel Contributions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a1a2e"/>
          <w:sz w:val="220"/>
          <w:szCs w:val="220"/>
        </w:rPr>
        <w:t xml:space="preserve">1.  Carbon Fitness Score (CFS): </w:t>
      </w:r>
      <w:r>
        <w:rPr>
          <w:rFonts w:ascii="Calibri" w:cs="Calibri" w:eastAsia="Calibri" w:hAnsi="Calibri"/>
          <w:color w:val="222222"/>
          <w:sz w:val="220"/>
          <w:szCs w:val="220"/>
        </w:rPr>
        <w:t xml:space="preserve">First formalized metric combining process conformance with carbon budget adherence in a single unified score.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a1a2e"/>
          <w:sz w:val="220"/>
          <w:szCs w:val="220"/>
        </w:rPr>
        <w:t xml:space="preserve">2.  Dual-Objective Conformance Engine: </w:t>
      </w:r>
      <w:r>
        <w:rPr>
          <w:rFonts w:ascii="Calibri" w:cs="Calibri" w:eastAsia="Calibri" w:hAnsi="Calibri"/>
          <w:color w:val="222222"/>
          <w:sz w:val="220"/>
          <w:szCs w:val="220"/>
        </w:rPr>
        <w:t xml:space="preserve">Extension of classical fitness metrics to include environmental objectives — enabling truly sustainable process mining.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a1a2e"/>
          <w:sz w:val="220"/>
          <w:szCs w:val="220"/>
        </w:rPr>
        <w:t xml:space="preserve">3.  OCEL 2.0 + Carbon Integration: </w:t>
      </w:r>
      <w:r>
        <w:rPr>
          <w:rFonts w:ascii="Calibri" w:cs="Calibri" w:eastAsia="Calibri" w:hAnsi="Calibri"/>
          <w:color w:val="222222"/>
          <w:sz w:val="220"/>
          <w:szCs w:val="220"/>
        </w:rPr>
        <w:t xml:space="preserve">First platform to natively bridge the OCEL 2.0 standard with per-activity carbon emission modeling.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a1a2e"/>
          <w:sz w:val="220"/>
          <w:szCs w:val="220"/>
        </w:rPr>
        <w:t xml:space="preserve">4.  Local LLM Copilot for Process Intelligence: </w:t>
      </w:r>
      <w:r>
        <w:rPr>
          <w:rFonts w:ascii="Calibri" w:cs="Calibri" w:eastAsia="Calibri" w:hAnsi="Calibri"/>
          <w:color w:val="222222"/>
          <w:sz w:val="220"/>
          <w:szCs w:val="220"/>
        </w:rPr>
        <w:t xml:space="preserve">Privacy-preserving AI layer that operates entirely on-premises via Ollama, making it deployable in enterprise environments with data sovereignty requirements.</w:t>
      </w:r>
    </w:p>
    <w:p>
      <w:pPr>
        <w:spacing w:after="160"/>
      </w:pPr>
    </w:p>
    <w:p>
      <w:pPr>
        <w:keepNext/>
        <w:pBdr>
          <w:bottom w:val="single" w:color="00D4AA" w:sz="8" w:space="4"/>
        </w:pBdr>
        <w:spacing w:after="180" w:before="0"/>
      </w:pPr>
      <w:r>
        <w:br w:type="page"/>
      </w:r>
      <w:r>
        <w:rPr>
          <w:rFonts w:ascii="Calibri" w:cs="Calibri" w:eastAsia="Calibri" w:hAnsi="Calibri"/>
          <w:b/>
          <w:bCs/>
          <w:color w:val="1a1a2e"/>
          <w:sz w:val="360"/>
          <w:szCs w:val="360"/>
        </w:rPr>
        <w:t xml:space="preserve">Technology Stack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0"/>
          <w:bottom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fill="1a1a2e"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Component</w:t>
            </w:r>
          </w:p>
        </w:tc>
        <w:tc>
          <w:tcPr>
            <w:tcW w:type="dxa" w:w="4200"/>
            <w:shd w:fill="1a1a2e"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Technology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Frontend Framework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Next.js 16 (React)</w:t>
            </w:r>
          </w:p>
        </w:tc>
      </w:tr>
      <w:tr>
        <w:tc>
          <w:tcPr>
            <w:tcW w:type="dxa" w:w="35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Styling</w:t>
            </w:r>
          </w:p>
        </w:tc>
        <w:tc>
          <w:tcPr>
            <w:tcW w:type="dxa" w:w="42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TailwindCSS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Backend Framework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FastAPI (Python 3.11)</w:t>
            </w:r>
          </w:p>
        </w:tc>
      </w:tr>
      <w:tr>
        <w:tc>
          <w:tcPr>
            <w:tcW w:type="dxa" w:w="35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Process Mining Engine</w:t>
            </w:r>
          </w:p>
        </w:tc>
        <w:tc>
          <w:tcPr>
            <w:tcW w:type="dxa" w:w="42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pm4py (OCEL 2.0)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Database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PostgreSQL</w:t>
            </w:r>
          </w:p>
        </w:tc>
      </w:tr>
      <w:tr>
        <w:tc>
          <w:tcPr>
            <w:tcW w:type="dxa" w:w="35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LLM Runtime</w:t>
            </w:r>
          </w:p>
        </w:tc>
        <w:tc>
          <w:tcPr>
            <w:tcW w:type="dxa" w:w="42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Ollama (local)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PDF Generation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WeasyPrint / ReportLab</w:t>
            </w:r>
          </w:p>
        </w:tc>
      </w:tr>
      <w:tr>
        <w:tc>
          <w:tcPr>
            <w:tcW w:type="dxa" w:w="35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Charting</w:t>
            </w:r>
          </w:p>
        </w:tc>
        <w:tc>
          <w:tcPr>
            <w:tcW w:type="dxa" w:w="42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Recharts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Deployment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Docker Compose</w:t>
            </w:r>
          </w:p>
        </w:tc>
      </w:tr>
      <w:tr>
        <w:tc>
          <w:tcPr>
            <w:tcW w:type="dxa" w:w="35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Version Control</w:t>
            </w:r>
          </w:p>
        </w:tc>
        <w:tc>
          <w:tcPr>
            <w:tcW w:type="dxa" w:w="42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Git / GitHub</w:t>
            </w:r>
          </w:p>
        </w:tc>
      </w:tr>
    </w:tbl>
    <w:p>
      <w:pPr>
        <w:spacing w:after="160"/>
      </w:pPr>
    </w:p>
    <w:p>
      <w:pPr>
        <w:keepNext/>
        <w:pBdr>
          <w:bottom w:val="single" w:color="00D4AA" w:sz="8" w:space="4"/>
        </w:pBdr>
        <w:spacing w:after="180" w:before="0"/>
      </w:pPr>
      <w:r>
        <w:br w:type="page"/>
      </w:r>
      <w:r>
        <w:rPr>
          <w:rFonts w:ascii="Calibri" w:cs="Calibri" w:eastAsia="Calibri" w:hAnsi="Calibri"/>
          <w:b/>
          <w:bCs/>
          <w:color w:val="1a1a2e"/>
          <w:sz w:val="360"/>
          <w:szCs w:val="360"/>
        </w:rPr>
        <w:t xml:space="preserve">System Workflow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a1a2e"/>
          <w:sz w:val="220"/>
          <w:szCs w:val="220"/>
        </w:rPr>
        <w:t xml:space="preserve">Step 1 — Data Ingestion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Users upload OCEL 2.0 compliant CSV/JSON event logs. The backend parses object types, activities, timestamps, and resource attributes.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a1a2e"/>
          <w:sz w:val="220"/>
          <w:szCs w:val="220"/>
        </w:rPr>
        <w:t xml:space="preserve">Step 2 — Process Discovery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pm4py discovers the process model (directly-follows graph) and identifies process variants. K-Means clustering groups similar variants for pattern analysis.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a1a2e"/>
          <w:sz w:val="220"/>
          <w:szCs w:val="220"/>
        </w:rPr>
        <w:t xml:space="preserve">Step 3 — Conformance Checking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The dual-objective engine computes Sequence Fitness against the normative model and Carbon Fitness Score against configured carbon budgets. Violations are logged with case ID, severity, and type.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a1a2e"/>
          <w:sz w:val="220"/>
          <w:szCs w:val="220"/>
        </w:rPr>
        <w:t xml:space="preserve">Step 4 — ESG Intelligence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Emissions are aggregated by Scope 1/2/3, mapped to organizational units, and structured into BRSR-compliant report format.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a1a2e"/>
          <w:sz w:val="220"/>
          <w:szCs w:val="220"/>
        </w:rPr>
        <w:t xml:space="preserve">Step 5 — AI Copilot Analysis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The Ollama LLM receives summarized process metrics and generates natural language insights, root cause hypotheses, and optimization recommendations.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a1a2e"/>
          <w:sz w:val="220"/>
          <w:szCs w:val="220"/>
        </w:rPr>
        <w:t xml:space="preserve">Step 6 — Report Export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Users export PDF reports (ESG summary, BRSR annex, violation audit log) for submission to regulators, auditors, or internal stakeholders.</w:t>
      </w:r>
    </w:p>
    <w:p>
      <w:pPr>
        <w:spacing w:after="160"/>
      </w:pPr>
    </w:p>
    <w:p>
      <w:pPr>
        <w:keepNext/>
        <w:pBdr>
          <w:bottom w:val="single" w:color="00D4AA" w:sz="8" w:space="4"/>
        </w:pBdr>
        <w:spacing w:after="180" w:before="0"/>
      </w:pPr>
      <w:r>
        <w:br w:type="page"/>
      </w:r>
      <w:r>
        <w:rPr>
          <w:rFonts w:ascii="Calibri" w:cs="Calibri" w:eastAsia="Calibri" w:hAnsi="Calibri"/>
          <w:b/>
          <w:bCs/>
          <w:color w:val="1a1a2e"/>
          <w:sz w:val="360"/>
          <w:szCs w:val="360"/>
        </w:rPr>
        <w:t xml:space="preserve">Impact &amp; Applications</w:t>
      </w: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0D4AA"/>
          <w:sz w:val="280"/>
          <w:szCs w:val="280"/>
        </w:rPr>
        <w:t xml:space="preserve">Target Industries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Logistics &amp; Supply Chain (Scope 3 emissions from freight)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Manufacturing (production process carbon tracking)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Healthcare (supply chain compliance + sustainability)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Financial Services (ESG reporting for portfolio companies)</w:t>
      </w:r>
    </w:p>
    <w:p>
      <w:pPr>
        <w:spacing w:after="12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0D4AA"/>
          <w:sz w:val="280"/>
          <w:szCs w:val="280"/>
        </w:rPr>
        <w:t xml:space="preserve">Regulatory Alignment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India BRSR (Business Responsibility and Sustainability Reporting) — SEBI mandated for top 1000 listed companies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EU CSRD (Corporate Sustainability Reporting Directive)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ISO 14064 (Greenhouse Gas Quantification)</w:t>
      </w:r>
    </w:p>
    <w:p>
      <w:pPr>
        <w:spacing w:after="120"/>
      </w:pPr>
    </w:p>
    <w:p>
      <w:pPr>
        <w:keepNext/>
        <w:spacing w:after="120" w:before="240"/>
      </w:pPr>
      <w:r>
        <w:rPr>
          <w:rFonts w:ascii="Calibri" w:cs="Calibri" w:eastAsia="Calibri" w:hAnsi="Calibri"/>
          <w:b/>
          <w:bCs/>
          <w:color w:val="00D4AA"/>
          <w:sz w:val="280"/>
          <w:szCs w:val="280"/>
        </w:rPr>
        <w:t xml:space="preserve">Estimated Impact at Scale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40–60% reduction in time spent on ESG report preparation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Real-time carbon violation alerts (vs quarterly manual audits)</w:t>
      </w:r>
    </w:p>
    <w:p>
      <w:pPr>
        <w:pStyle w:val="ListParagraph"/>
        <w:keepLines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Enables data-driven process redesign for net-zero targets</w:t>
      </w:r>
    </w:p>
    <w:p>
      <w:pPr>
        <w:spacing w:after="160"/>
      </w:pPr>
    </w:p>
    <w:p>
      <w:pPr>
        <w:keepNext/>
        <w:pBdr>
          <w:bottom w:val="single" w:color="00D4AA" w:sz="8" w:space="4"/>
        </w:pBdr>
        <w:spacing w:after="180" w:before="0"/>
      </w:pPr>
      <w:r>
        <w:br w:type="page"/>
      </w:r>
      <w:r>
        <w:rPr>
          <w:rFonts w:ascii="Calibri" w:cs="Calibri" w:eastAsia="Calibri" w:hAnsi="Calibri"/>
          <w:b/>
          <w:bCs/>
          <w:color w:val="1a1a2e"/>
          <w:sz w:val="360"/>
          <w:szCs w:val="360"/>
        </w:rPr>
        <w:t xml:space="preserve">Team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a1a2e"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Rudra Pratap Singh</w:t>
            </w:r>
          </w:p>
        </w:tc>
        <w:tc>
          <w:tcPr>
            <w:tcW w:type="dxa" w:w="2500"/>
            <w:shd w:fill="1a1a2e"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Divayom Sengar</w:t>
            </w:r>
          </w:p>
        </w:tc>
        <w:tc>
          <w:tcPr>
            <w:tcW w:type="dxa" w:w="2500"/>
            <w:shd w:fill="1a1a2e" w:color="1a1a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Swastik Anurag Vyas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Full-Stack Development, Process Mining Engine, Carbon Intelligence Module, LLM Integration, ESG Report Generation</w:t>
            </w:r>
          </w:p>
        </w:tc>
        <w:tc>
          <w:tcPr>
            <w:tcW w:type="dxa" w:w="25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Frontend Architecture, UI/UX Design, Dashboard Development, Data Visualization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Backend Development, Database Design, API Engineering, Conformance Engine</w:t>
            </w:r>
          </w:p>
        </w:tc>
      </w:tr>
      <w:tr>
        <w:tc>
          <w:tcPr>
            <w:tcW w:type="dxa" w:w="25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B.Tech Information Technology | 3rd Year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B.Tech Information Technology | 3rd Year</w:t>
            </w:r>
          </w:p>
        </w:tc>
        <w:tc>
          <w:tcPr>
            <w:tcW w:type="dxa" w:w="25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B.Tech Information Technology | 3rd Year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Manipal University Jaipur</w:t>
            </w:r>
          </w:p>
        </w:tc>
        <w:tc>
          <w:tcPr>
            <w:tcW w:type="dxa" w:w="25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Manipal University Jaipur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0"/>
                <w:szCs w:val="200"/>
              </w:rPr>
              <w:t xml:space="preserve">Manipal University Jaipur</w:t>
            </w:r>
          </w:p>
        </w:tc>
      </w:tr>
    </w:tbl>
    <w:p>
      <w:pPr>
        <w:spacing w:after="160"/>
      </w:pPr>
    </w:p>
    <w:p>
      <w:pPr>
        <w:keepNext/>
        <w:pBdr>
          <w:bottom w:val="single" w:color="00D4AA" w:sz="8" w:space="4"/>
        </w:pBdr>
        <w:spacing w:after="180" w:before="0"/>
      </w:pPr>
      <w:r>
        <w:br w:type="page"/>
      </w:r>
      <w:r>
        <w:rPr>
          <w:rFonts w:ascii="Calibri" w:cs="Calibri" w:eastAsia="Calibri" w:hAnsi="Calibri"/>
          <w:b/>
          <w:bCs/>
          <w:color w:val="1a1a2e"/>
          <w:sz w:val="360"/>
          <w:szCs w:val="360"/>
        </w:rPr>
        <w:t xml:space="preserve">Conclusion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TRACE represents a significant step forward in making process mining practically useful for sustainability — bridging the gap between operational process intelligence and environmental accountability. By combining OCEL 2.0’s expressive power with a novel dual-objective conformance engine and automated ESG reporting, TRACE delivers a platform that is simultaneously academically rigorous and enterprise-ready.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The platform is designed for real-world deployment: it runs locally (no cloud dependency), supports privacy-preserving LLM inference, and generates audit-ready ESG reports aligned with India's BRSR mandate.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222222"/>
          <w:sz w:val="220"/>
          <w:szCs w:val="220"/>
        </w:rPr>
        <w:t xml:space="preserve">We believe TRACE has the potential to be the open-source foundation for sustainable process mining research globally.</w:t>
      </w:r>
    </w:p>
    <w:p>
      <w:pPr>
        <w:spacing w:after="360"/>
      </w:pP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i/>
          <w:iCs/>
          <w:color w:val="00D4AA"/>
          <w:sz w:val="200"/>
          <w:szCs w:val="200"/>
        </w:rPr>
        <w:t xml:space="preserve">TRACE | HackCulture 2026 | Manipal University Jaipur</w:t>
      </w:r>
    </w:p>
    <w:sectPr>
      <w:footerReference w:type="default" r:id="rId7"/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spacing w:after="0"/>
    </w:pPr>
    <w:r>
      <w:rPr>
        <w:rFonts w:ascii="Calibri" w:cs="Calibri" w:eastAsia="Calibri" w:hAnsi="Calibri"/>
        <w:color w:val="555555"/>
        <w:sz w:val="160"/>
        <w:szCs w:val="160"/>
      </w:rPr>
      <w:t xml:space="preserve">TRACE | Enterprise Process Mining &amp; Carbon Intelligence Platform</w:t>
    </w:r>
    <w:r>
      <w:rPr>
        <w:sz w:val="160"/>
        <w:szCs w:val="160"/>
      </w:rPr>
      <w:t xml:space="preserve">	</w:t>
    </w:r>
    <w:r>
      <w:rPr>
        <w:rFonts w:ascii="Calibri" w:cs="Calibri" w:eastAsia="Calibri" w:hAnsi="Calibri"/>
        <w:color w:val="555555"/>
        <w:sz w:val="160"/>
        <w:szCs w:val="160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  <w:rPr>
        <w:rFonts w:ascii="Calibri" w:cs="Calibri" w:eastAsia="Calibri" w:hAnsi="Calibri"/>
        <w:sz w:val="220"/>
        <w:szCs w:val="2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76" w:lineRule="auto"/>
    </w:pPr>
    <w:rPr>
      <w:rFonts w:ascii="Calibri" w:cs="Calibri" w:eastAsia="Calibri" w:hAnsi="Calibri"/>
      <w:color w:val="222222"/>
      <w:sz w:val="220"/>
      <w:szCs w:val="220"/>
    </w:rPr>
  </w:style>
  <w:style w:type="paragraph" w:styleId="ListParagraph">
    <w:name w:val="List Paragraph"/>
    <w:basedOn w:val="Normal"/>
    <w:pPr>
      <w:spacing w:after="80"/>
      <w:ind w:left="576"/>
    </w:pPr>
    <w:rPr>
      <w:rFonts w:ascii="Calibri" w:cs="Calibri" w:eastAsia="Calibri" w:hAnsi="Calibri"/>
      <w:color w:val="222222"/>
      <w:sz w:val="220"/>
      <w:szCs w:val="2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2026-06-29T03:09:02.208Z</dcterms:created>
  <dcterms:modified xsi:type="dcterms:W3CDTF">2026-06-29T03:09:02.214Z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