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Vulnerability Assessment Report</w:t>
      </w:r>
    </w:p>
    <w:p>
      <w:pPr>
        <w:pStyle w:val="Heading2"/>
      </w:pPr>
      <w:r>
        <w:t xml:space="preserve">Application: Leagal Guide</w:t>
      </w:r>
    </w:p>
    <w:p>
      <w:pPr>
        <w:pStyle w:val="Heading2"/>
      </w:pPr>
      <w:r>
        <w:t xml:space="preserve">Organization: DIC</w:t>
      </w:r>
    </w:p>
    <w:p>
      <w:pPr>
        <w:pStyle w:val="Heading2"/>
      </w:pPr>
      <w:r>
        <w:t xml:space="preserve">Classification: Confidential</w:t>
      </w:r>
    </w:p>
    <w:p>
      <w:pPr>
        <w:pStyle w:val="Heading2"/>
      </w:pPr>
      <w:r>
        <w:t xml:space="preserve">Date: 7/13/2026</w:t>
      </w:r>
    </w:p>
    <w:p>
      <w:pPr>
        <w:pageBreakBefore/>
      </w:pPr>
      <w:r>
        <w:t xml:space="preserve">
</w:t>
      </w:r>
    </w:p>
    <w:p>
      <w:pPr>
        <w:pStyle w:val="Heading1"/>
      </w:pPr>
      <w:r>
        <w:t xml:space="preserve">Document Control</w:t>
      </w:r>
    </w:p>
    <w:p>
      <w:r>
        <w:t xml:space="preserve">Version: 1.0</w:t>
      </w:r>
    </w:p>
    <w:p>
      <w:r>
        <w:t xml:space="preserve">Auditor ID: cmrfwxj5i0009wckcnxwsjrdc</w:t>
      </w:r>
    </w:p>
    <w:p>
      <w:r>
        <w:t xml:space="preserve">Reviewer ID: cmrfwxj5n000bwckcj7hbgxd6</w:t>
      </w:r>
    </w:p>
    <w:p>
      <w:r>
        <w:t xml:space="preserve">Start Date: 7/6/2026</w:t>
      </w:r>
    </w:p>
    <w:p>
      <w:r>
        <w:t xml:space="preserve">End Date: 12/8/2026</w:t>
      </w:r>
    </w:p>
    <w:p>
      <w:pPr>
        <w:pageBreakBefore/>
      </w:pPr>
      <w:r>
        <w:t xml:space="preserve">
</w:t>
      </w:r>
    </w:p>
    <w:p>
      <w:pPr>
        <w:pStyle w:val="Heading1"/>
      </w:pPr>
      <w:r>
        <w:t xml:space="preserve">Scope</w:t>
      </w:r>
    </w:p>
    <w:p>
      <w:r>
        <w:t xml:space="preserve">Target URL: www.youtube.com</w:t>
      </w:r>
    </w:p>
    <w:p>
      <w:r>
        <w:t xml:space="preserve">Assessment Type: Web Application</w:t>
      </w:r>
    </w:p>
    <w:p>
      <w:pPr>
        <w:pageBreakBefore/>
      </w:pPr>
      <w:r>
        <w:t xml:space="preserve">
</w:t>
      </w:r>
    </w:p>
    <w:p>
      <w:pPr>
        <w:pStyle w:val="Heading1"/>
      </w:pPr>
      <w:r>
        <w:t xml:space="preserve">Detailed Findings</w:t>
      </w:r>
    </w:p>
    <w:p>
      <w:r>
        <w:t xml:space="preserve">
</w:t>
      </w:r>
    </w:p>
    <w:p>
      <w:pPr>
        <w:pStyle w:val="Heading2"/>
      </w:pPr>
      <w:r>
        <w:t xml:space="preserve">5.1 IDOR</w:t>
      </w:r>
    </w:p>
    <w:tbl>
      <w:tblPr>
        <w:tblW w:type="pct" w:w="100%"/>
        <w:tblBorders>
          <w:top w:val="single" w:color="000000" w:sz="1"/>
          <w:left w:val="single" w:color="000000" w:sz="1"/>
          <w:bottom w:val="single" w:color="000000" w:sz="1"/>
          <w:right w:val="single" w:color="000000" w:sz="1"/>
          <w:insideH w:val="single" w:color="D1D5DB" w:sz="1"/>
          <w:insideV w:val="single" w:color="D1D5DB" w:sz="1"/>
        </w:tblBorders>
      </w:tblPr>
      <w:tblGrid>
        <w:gridCol w:w="100"/>
        <w:gridCol w:w="100"/>
      </w:tblGrid>
      <w:tr>
        <w:tc>
          <w:tcPr>
            <w:tcW w:type="pct" w:w="25%"/>
            <w:shd w:fill="F3F4F6"/>
            <w:tcMar>
              <w:top w:type="dxa" w:w="100"/>
              <w:left w:type="dxa" w:w="100"/>
              <w:bottom w:type="dxa" w:w="100"/>
              <w:right w:type="dxa" w:w="100"/>
            </w:tcMar>
          </w:tcPr>
          <w:p>
            <w:r>
              <w:rPr>
                <w:b/>
                <w:bCs/>
              </w:rPr>
              <w:t xml:space="preserve">Vulnerability Name</w:t>
            </w:r>
          </w:p>
        </w:tc>
        <w:tc>
          <w:tcPr>
            <w:tcW w:type="pct" w:w="75%"/>
            <w:tcMar>
              <w:top w:type="dxa" w:w="100"/>
              <w:left w:type="dxa" w:w="100"/>
              <w:bottom w:type="dxa" w:w="100"/>
              <w:right w:type="dxa" w:w="100"/>
            </w:tcMar>
          </w:tcPr>
          <w:p>
            <w:r>
              <w:t xml:space="preserve">IDOR</w:t>
            </w:r>
          </w:p>
        </w:tc>
      </w:tr>
      <w:tr>
        <w:tc>
          <w:tcPr>
            <w:tcW w:type="pct" w:w="25%"/>
            <w:shd w:fill="F3F4F6"/>
            <w:tcMar>
              <w:top w:type="dxa" w:w="100"/>
              <w:left w:type="dxa" w:w="100"/>
              <w:bottom w:type="dxa" w:w="100"/>
              <w:right w:type="dxa" w:w="100"/>
            </w:tcMar>
          </w:tcPr>
          <w:p>
            <w:r>
              <w:rPr>
                <w:b/>
                <w:bCs/>
              </w:rPr>
              <w:t xml:space="preserve">Description</w:t>
            </w:r>
          </w:p>
        </w:tc>
        <w:tc>
          <w:tcPr>
            <w:tcW w:type="pct" w:w="75%"/>
            <w:tcMar>
              <w:top w:type="dxa" w:w="100"/>
              <w:left w:type="dxa" w:w="100"/>
              <w:bottom w:type="dxa" w:w="100"/>
              <w:right w:type="dxa" w:w="100"/>
            </w:tcMar>
          </w:tcPr>
          <w:p>
            <w:r>
              <w:t xml:space="preserve">IDOR (Identification by Operand or ID Retrieval) is a security flaw that occurs when an application exposes sensitive data through URL parameters, allowing unauthorized users to identify and retrieve specific resources without proper authentication. This vulnerability arises from the lack of input validation on URL parameters, enabling attackers to manipulate these parameters for unintended actions such as viewing private information.</w:t>
            </w:r>
          </w:p>
        </w:tc>
      </w:tr>
      <w:tr>
        <w:tc>
          <w:tcPr>
            <w:tcW w:type="pct" w:w="25%"/>
            <w:shd w:fill="F3F4F6"/>
            <w:tcMar>
              <w:top w:type="dxa" w:w="100"/>
              <w:left w:type="dxa" w:w="100"/>
              <w:bottom w:type="dxa" w:w="100"/>
              <w:right w:type="dxa" w:w="100"/>
            </w:tcMar>
          </w:tcPr>
          <w:p>
            <w:r>
              <w:rPr>
                <w:b/>
                <w:bCs/>
              </w:rPr>
              <w:t xml:space="preserve">CWE ID</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Severity</w:t>
            </w:r>
          </w:p>
        </w:tc>
        <w:tc>
          <w:tcPr>
            <w:tcW w:type="pct" w:w="75%"/>
            <w:tcMar>
              <w:top w:type="dxa" w:w="100"/>
              <w:left w:type="dxa" w:w="100"/>
              <w:bottom w:type="dxa" w:w="100"/>
              <w:right w:type="dxa" w:w="100"/>
            </w:tcMar>
          </w:tcPr>
          <w:p>
            <w:r>
              <w:t xml:space="preserve">Medium</w:t>
            </w:r>
          </w:p>
        </w:tc>
      </w:tr>
      <w:tr>
        <w:tc>
          <w:tcPr>
            <w:tcW w:type="pct" w:w="25%"/>
            <w:shd w:fill="F3F4F6"/>
            <w:tcMar>
              <w:top w:type="dxa" w:w="100"/>
              <w:left w:type="dxa" w:w="100"/>
              <w:bottom w:type="dxa" w:w="100"/>
              <w:right w:type="dxa" w:w="100"/>
            </w:tcMar>
          </w:tcPr>
          <w:p>
            <w:r>
              <w:rPr>
                <w:b/>
                <w:bCs/>
              </w:rPr>
              <w:t xml:space="preserve">OWASP Mapping</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Affected URL(s)</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Mitigation</w:t>
            </w:r>
          </w:p>
        </w:tc>
        <w:tc>
          <w:tcPr>
            <w:tcW w:type="pct" w:w="75%"/>
            <w:tcMar>
              <w:top w:type="dxa" w:w="100"/>
              <w:left w:type="dxa" w:w="100"/>
              <w:bottom w:type="dxa" w:w="100"/>
              <w:right w:type="dxa" w:w="100"/>
            </w:tcMar>
          </w:tcPr>
          <w:p>
            <w:r>
              <w:t xml:space="preserve">To mitigate IDOR vulnerabilities, implement robust input validation on URL parameters, ensure that all parameter values are checked against predefined rules, and restrict access to sensitive data based on authentication and authorization mechanisms.</w:t>
            </w:r>
          </w:p>
        </w:tc>
      </w:tr>
    </w:tbl>
    <w:p>
      <w:r>
        <w:t xml:space="preserve">
</w:t>
      </w:r>
    </w:p>
    <w:p>
      <w:pPr>
        <w:pageBreakBefore/>
      </w:pPr>
      <w:r>
        <w:t xml:space="preserve">
</w:t>
      </w:r>
    </w:p>
    <w:p>
      <w:pPr>
        <w:pStyle w:val="Heading2"/>
      </w:pPr>
      <w:r>
        <w:t xml:space="preserve">5.2 BOLA</w:t>
      </w:r>
    </w:p>
    <w:tbl>
      <w:tblPr>
        <w:tblW w:type="pct" w:w="100%"/>
        <w:tblBorders>
          <w:top w:val="single" w:color="000000" w:sz="1"/>
          <w:left w:val="single" w:color="000000" w:sz="1"/>
          <w:bottom w:val="single" w:color="000000" w:sz="1"/>
          <w:right w:val="single" w:color="000000" w:sz="1"/>
          <w:insideH w:val="single" w:color="D1D5DB" w:sz="1"/>
          <w:insideV w:val="single" w:color="D1D5DB" w:sz="1"/>
        </w:tblBorders>
      </w:tblPr>
      <w:tblGrid>
        <w:gridCol w:w="100"/>
        <w:gridCol w:w="100"/>
      </w:tblGrid>
      <w:tr>
        <w:tc>
          <w:tcPr>
            <w:tcW w:type="pct" w:w="25%"/>
            <w:shd w:fill="F3F4F6"/>
            <w:tcMar>
              <w:top w:type="dxa" w:w="100"/>
              <w:left w:type="dxa" w:w="100"/>
              <w:bottom w:type="dxa" w:w="100"/>
              <w:right w:type="dxa" w:w="100"/>
            </w:tcMar>
          </w:tcPr>
          <w:p>
            <w:r>
              <w:rPr>
                <w:b/>
                <w:bCs/>
              </w:rPr>
              <w:t xml:space="preserve">Vulnerability Name</w:t>
            </w:r>
          </w:p>
        </w:tc>
        <w:tc>
          <w:tcPr>
            <w:tcW w:type="pct" w:w="75%"/>
            <w:tcMar>
              <w:top w:type="dxa" w:w="100"/>
              <w:left w:type="dxa" w:w="100"/>
              <w:bottom w:type="dxa" w:w="100"/>
              <w:right w:type="dxa" w:w="100"/>
            </w:tcMar>
          </w:tcPr>
          <w:p>
            <w:r>
              <w:t xml:space="preserve">BOLA</w:t>
            </w:r>
          </w:p>
        </w:tc>
      </w:tr>
      <w:tr>
        <w:tc>
          <w:tcPr>
            <w:tcW w:type="pct" w:w="25%"/>
            <w:shd w:fill="F3F4F6"/>
            <w:tcMar>
              <w:top w:type="dxa" w:w="100"/>
              <w:left w:type="dxa" w:w="100"/>
              <w:bottom w:type="dxa" w:w="100"/>
              <w:right w:type="dxa" w:w="100"/>
            </w:tcMar>
          </w:tcPr>
          <w:p>
            <w:r>
              <w:rPr>
                <w:b/>
                <w:bCs/>
              </w:rPr>
              <w:t xml:space="preserve">Description</w:t>
            </w:r>
          </w:p>
        </w:tc>
        <w:tc>
          <w:tcPr>
            <w:tcW w:type="pct" w:w="75%"/>
            <w:tcMar>
              <w:top w:type="dxa" w:w="100"/>
              <w:left w:type="dxa" w:w="100"/>
              <w:bottom w:type="dxa" w:w="100"/>
              <w:right w:type="dxa" w:w="100"/>
            </w:tcMar>
          </w:tcPr>
          <w:p>
            <w:r>
              <w:t xml:space="preserve">BOLA is an abbreviation for Buffer Overflow on Local Application, which occurs when a program attempts to store more data in a buffer than it can hold. This results in overwriting the adjacent memory space, leading to arbitrary code execution if not properly mitigated.</w:t>
            </w:r>
          </w:p>
        </w:tc>
      </w:tr>
      <w:tr>
        <w:tc>
          <w:tcPr>
            <w:tcW w:type="pct" w:w="25%"/>
            <w:shd w:fill="F3F4F6"/>
            <w:tcMar>
              <w:top w:type="dxa" w:w="100"/>
              <w:left w:type="dxa" w:w="100"/>
              <w:bottom w:type="dxa" w:w="100"/>
              <w:right w:type="dxa" w:w="100"/>
            </w:tcMar>
          </w:tcPr>
          <w:p>
            <w:r>
              <w:rPr>
                <w:b/>
                <w:bCs/>
              </w:rPr>
              <w:t xml:space="preserve">CWE ID</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Severity</w:t>
            </w:r>
          </w:p>
        </w:tc>
        <w:tc>
          <w:tcPr>
            <w:tcW w:type="pct" w:w="75%"/>
            <w:tcMar>
              <w:top w:type="dxa" w:w="100"/>
              <w:left w:type="dxa" w:w="100"/>
              <w:bottom w:type="dxa" w:w="100"/>
              <w:right w:type="dxa" w:w="100"/>
            </w:tcMar>
          </w:tcPr>
          <w:p>
            <w:r>
              <w:t xml:space="preserve">Medium</w:t>
            </w:r>
          </w:p>
        </w:tc>
      </w:tr>
      <w:tr>
        <w:tc>
          <w:tcPr>
            <w:tcW w:type="pct" w:w="25%"/>
            <w:shd w:fill="F3F4F6"/>
            <w:tcMar>
              <w:top w:type="dxa" w:w="100"/>
              <w:left w:type="dxa" w:w="100"/>
              <w:bottom w:type="dxa" w:w="100"/>
              <w:right w:type="dxa" w:w="100"/>
            </w:tcMar>
          </w:tcPr>
          <w:p>
            <w:r>
              <w:rPr>
                <w:b/>
                <w:bCs/>
              </w:rPr>
              <w:t xml:space="preserve">OWASP Mapping</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Affected URL(s)</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Mitigation</w:t>
            </w:r>
          </w:p>
        </w:tc>
        <w:tc>
          <w:tcPr>
            <w:tcW w:type="pct" w:w="75%"/>
            <w:tcMar>
              <w:top w:type="dxa" w:w="100"/>
              <w:left w:type="dxa" w:w="100"/>
              <w:bottom w:type="dxa" w:w="100"/>
              <w:right w:type="dxa" w:w="100"/>
            </w:tcMar>
          </w:tcPr>
          <w:p>
            <w:r>
              <w:t xml:space="preserve">To mitigate the risk associated with BOLA, developers should implement robust input validation mechanisms, use safer alternatives like safer string functions (e.g., strncpy instead of strcpy), and employ memory management techniques such as bounds checking and using secure buffer allocation methods. Additionally, regular security audits and updates are crucial to ensure that all software is patched against known vulnerabilities.</w:t>
            </w:r>
          </w:p>
        </w:tc>
      </w:tr>
    </w:tbl>
    <w:p>
      <w:r>
        <w:t xml:space="preserve">
</w:t>
      </w:r>
    </w:p>
    <w:p>
      <w:pPr>
        <w:pageBreakBefore/>
      </w:pPr>
      <w:r>
        <w:t xml:space="preserve">
</w:t>
      </w:r>
    </w:p>
    <w:p>
      <w:pPr>
        <w:pStyle w:val="Heading2"/>
      </w:pPr>
      <w:r>
        <w:t xml:space="preserve">5.3 SSRF</w:t>
      </w:r>
    </w:p>
    <w:tbl>
      <w:tblPr>
        <w:tblW w:type="pct" w:w="100%"/>
        <w:tblBorders>
          <w:top w:val="single" w:color="000000" w:sz="1"/>
          <w:left w:val="single" w:color="000000" w:sz="1"/>
          <w:bottom w:val="single" w:color="000000" w:sz="1"/>
          <w:right w:val="single" w:color="000000" w:sz="1"/>
          <w:insideH w:val="single" w:color="D1D5DB" w:sz="1"/>
          <w:insideV w:val="single" w:color="D1D5DB" w:sz="1"/>
        </w:tblBorders>
      </w:tblPr>
      <w:tblGrid>
        <w:gridCol w:w="100"/>
        <w:gridCol w:w="100"/>
      </w:tblGrid>
      <w:tr>
        <w:tc>
          <w:tcPr>
            <w:tcW w:type="pct" w:w="25%"/>
            <w:shd w:fill="F3F4F6"/>
            <w:tcMar>
              <w:top w:type="dxa" w:w="100"/>
              <w:left w:type="dxa" w:w="100"/>
              <w:bottom w:type="dxa" w:w="100"/>
              <w:right w:type="dxa" w:w="100"/>
            </w:tcMar>
          </w:tcPr>
          <w:p>
            <w:r>
              <w:rPr>
                <w:b/>
                <w:bCs/>
              </w:rPr>
              <w:t xml:space="preserve">Vulnerability Name</w:t>
            </w:r>
          </w:p>
        </w:tc>
        <w:tc>
          <w:tcPr>
            <w:tcW w:type="pct" w:w="75%"/>
            <w:tcMar>
              <w:top w:type="dxa" w:w="100"/>
              <w:left w:type="dxa" w:w="100"/>
              <w:bottom w:type="dxa" w:w="100"/>
              <w:right w:type="dxa" w:w="100"/>
            </w:tcMar>
          </w:tcPr>
          <w:p>
            <w:r>
              <w:t xml:space="preserve">SSRF</w:t>
            </w:r>
          </w:p>
        </w:tc>
      </w:tr>
      <w:tr>
        <w:tc>
          <w:tcPr>
            <w:tcW w:type="pct" w:w="25%"/>
            <w:shd w:fill="F3F4F6"/>
            <w:tcMar>
              <w:top w:type="dxa" w:w="100"/>
              <w:left w:type="dxa" w:w="100"/>
              <w:bottom w:type="dxa" w:w="100"/>
              <w:right w:type="dxa" w:w="100"/>
            </w:tcMar>
          </w:tcPr>
          <w:p>
            <w:r>
              <w:rPr>
                <w:b/>
                <w:bCs/>
              </w:rPr>
              <w:t xml:space="preserve">Description</w:t>
            </w:r>
          </w:p>
        </w:tc>
        <w:tc>
          <w:tcPr>
            <w:tcW w:type="pct" w:w="75%"/>
            <w:tcMar>
              <w:top w:type="dxa" w:w="100"/>
              <w:left w:type="dxa" w:w="100"/>
              <w:bottom w:type="dxa" w:w="100"/>
              <w:right w:type="dxa" w:w="100"/>
            </w:tcMar>
          </w:tcPr>
          <w:p>
            <w:r>
              <w:t xml:space="preserve">SSRF (Server-Side Request Forgery) vulnerability allows an attacker to make unintended requests to the server, potentially leading to unauthorized access or data exposure.</w:t>
            </w:r>
          </w:p>
        </w:tc>
      </w:tr>
      <w:tr>
        <w:tc>
          <w:tcPr>
            <w:tcW w:type="pct" w:w="25%"/>
            <w:shd w:fill="F3F4F6"/>
            <w:tcMar>
              <w:top w:type="dxa" w:w="100"/>
              <w:left w:type="dxa" w:w="100"/>
              <w:bottom w:type="dxa" w:w="100"/>
              <w:right w:type="dxa" w:w="100"/>
            </w:tcMar>
          </w:tcPr>
          <w:p>
            <w:r>
              <w:rPr>
                <w:b/>
                <w:bCs/>
              </w:rPr>
              <w:t xml:space="preserve">CWE ID</w:t>
            </w:r>
          </w:p>
        </w:tc>
        <w:tc>
          <w:tcPr>
            <w:tcW w:type="pct" w:w="75%"/>
            <w:tcMar>
              <w:top w:type="dxa" w:w="100"/>
              <w:left w:type="dxa" w:w="100"/>
              <w:bottom w:type="dxa" w:w="100"/>
              <w:right w:type="dxa" w:w="100"/>
            </w:tcMar>
          </w:tcPr>
          <w:p>
            <w:r>
              <w:t xml:space="preserve">284</w:t>
            </w:r>
          </w:p>
        </w:tc>
      </w:tr>
      <w:tr>
        <w:tc>
          <w:tcPr>
            <w:tcW w:type="pct" w:w="25%"/>
            <w:shd w:fill="F3F4F6"/>
            <w:tcMar>
              <w:top w:type="dxa" w:w="100"/>
              <w:left w:type="dxa" w:w="100"/>
              <w:bottom w:type="dxa" w:w="100"/>
              <w:right w:type="dxa" w:w="100"/>
            </w:tcMar>
          </w:tcPr>
          <w:p>
            <w:r>
              <w:rPr>
                <w:b/>
                <w:bCs/>
              </w:rPr>
              <w:t xml:space="preserve">Severity</w:t>
            </w:r>
          </w:p>
        </w:tc>
        <w:tc>
          <w:tcPr>
            <w:tcW w:type="pct" w:w="75%"/>
            <w:tcMar>
              <w:top w:type="dxa" w:w="100"/>
              <w:left w:type="dxa" w:w="100"/>
              <w:bottom w:type="dxa" w:w="100"/>
              <w:right w:type="dxa" w:w="100"/>
            </w:tcMar>
          </w:tcPr>
          <w:p>
            <w:r>
              <w:t xml:space="preserve">Medium</w:t>
            </w:r>
          </w:p>
        </w:tc>
      </w:tr>
      <w:tr>
        <w:tc>
          <w:tcPr>
            <w:tcW w:type="pct" w:w="25%"/>
            <w:shd w:fill="F3F4F6"/>
            <w:tcMar>
              <w:top w:type="dxa" w:w="100"/>
              <w:left w:type="dxa" w:w="100"/>
              <w:bottom w:type="dxa" w:w="100"/>
              <w:right w:type="dxa" w:w="100"/>
            </w:tcMar>
          </w:tcPr>
          <w:p>
            <w:r>
              <w:rPr>
                <w:b/>
                <w:bCs/>
              </w:rPr>
              <w:t xml:space="preserve">OWASP Mapping</w:t>
            </w:r>
          </w:p>
        </w:tc>
        <w:tc>
          <w:tcPr>
            <w:tcW w:type="pct" w:w="75%"/>
            <w:tcMar>
              <w:top w:type="dxa" w:w="100"/>
              <w:left w:type="dxa" w:w="100"/>
              <w:bottom w:type="dxa" w:w="100"/>
              <w:right w:type="dxa" w:w="100"/>
            </w:tcMar>
          </w:tcPr>
          <w:p>
            <w:r>
              <w:t xml:space="preserve">Broken Access Control</w:t>
            </w:r>
          </w:p>
        </w:tc>
      </w:tr>
      <w:tr>
        <w:tc>
          <w:tcPr>
            <w:tcW w:type="pct" w:w="25%"/>
            <w:shd w:fill="F3F4F6"/>
            <w:tcMar>
              <w:top w:type="dxa" w:w="100"/>
              <w:left w:type="dxa" w:w="100"/>
              <w:bottom w:type="dxa" w:w="100"/>
              <w:right w:type="dxa" w:w="100"/>
            </w:tcMar>
          </w:tcPr>
          <w:p>
            <w:r>
              <w:rPr>
                <w:b/>
                <w:bCs/>
              </w:rPr>
              <w:t xml:space="preserve">Affected URL(s)</w:t>
            </w:r>
          </w:p>
        </w:tc>
        <w:tc>
          <w:tcPr>
            <w:tcW w:type="pct" w:w="75%"/>
            <w:tcMar>
              <w:top w:type="dxa" w:w="100"/>
              <w:left w:type="dxa" w:w="100"/>
              <w:bottom w:type="dxa" w:w="100"/>
              <w:right w:type="dxa" w:w="100"/>
            </w:tcMar>
          </w:tcPr>
          <w:p>
            <w:r>
              <w:t xml:space="preserve">N/A</w:t>
            </w:r>
          </w:p>
        </w:tc>
      </w:tr>
      <w:tr>
        <w:tc>
          <w:tcPr>
            <w:tcW w:type="pct" w:w="25%"/>
            <w:shd w:fill="F3F4F6"/>
            <w:tcMar>
              <w:top w:type="dxa" w:w="100"/>
              <w:left w:type="dxa" w:w="100"/>
              <w:bottom w:type="dxa" w:w="100"/>
              <w:right w:type="dxa" w:w="100"/>
            </w:tcMar>
          </w:tcPr>
          <w:p>
            <w:r>
              <w:rPr>
                <w:b/>
                <w:bCs/>
              </w:rPr>
              <w:t xml:space="preserve">Mitigation</w:t>
            </w:r>
          </w:p>
        </w:tc>
        <w:tc>
          <w:tcPr>
            <w:tcW w:type="pct" w:w="75%"/>
            <w:tcMar>
              <w:top w:type="dxa" w:w="100"/>
              <w:left w:type="dxa" w:w="100"/>
              <w:bottom w:type="dxa" w:w="100"/>
              <w:right w:type="dxa" w:w="100"/>
            </w:tcMar>
          </w:tcPr>
          <w:p>
            <w:r>
              <w:t xml:space="preserve">Implement input validation and sanitization for all user-provided inputs that are used in forming network requests. Use a whitelist approach to validate only expected sources of the request, such as internal IP addresses or predefined domains.</w:t>
            </w:r>
          </w:p>
        </w:tc>
      </w:tr>
    </w:tbl>
    <w:p>
      <w:r>
        <w:t xml:space="preserve">
</w:t>
      </w:r>
    </w:p>
    <w:p>
      <w:pPr>
        <w:pStyle w:val="Heading3"/>
      </w:pPr>
      <w:r>
        <w:t xml:space="preserve">Evidence</w:t>
      </w:r>
    </w:p>
    <w:p>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r>
        <w:rPr>
          <w:b/>
          <w:bCs/>
        </w:rPr>
        <w:t xml:space="preserve">Figure 1: </w:t>
      </w:r>
      <w:r>
        <w:rPr>
          <w:i/>
          <w:iCs/>
        </w:rPr>
        <w:t xml:space="preserve">Attached Evidence</w:t>
      </w:r>
    </w:p>
    <w:p>
      <w:r>
        <w:t xml:space="preserve">
</w:t>
      </w:r>
    </w:p>
    <w:p>
      <w:pPr>
        <w:pageBreakBefore/>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8396dc1a5ff8d598fd02ede3f0ab06ef9d2e0b.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2026-07-12T18:46:17.905Z</dcterms:created>
  <dcterms:modified xsi:type="dcterms:W3CDTF">2026-07-12T18:46:17.905Z</dcterms:modified>
</cp:coreProperties>
</file>

<file path=docProps/custom.xml><?xml version="1.0" encoding="utf-8"?>
<Properties xmlns="http://schemas.openxmlformats.org/officeDocument/2006/custom-properties" xmlns:vt="http://schemas.openxmlformats.org/officeDocument/2006/docPropsVTypes"/>
</file>