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订阅类型的注意事项</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订阅类型的买一次就可以了，apple会在下一个周期自动续订</w:t>
      </w:r>
      <w:r>
        <w:rPr>
          <w:rFonts w:eastAsia="宋体" w:ascii="Times New Roman" w:cs="Times New Roman" w:hAnsi="Times New Roman"/>
          <w:sz w:val="22"/>
        </w:rPr>
        <w:t>
</w:t>
      </w:r>
    </w:p>
    <w:p>
      <w:pPr>
        <w:jc w:val="left"/>
      </w:pPr>
      <w:r>
        <w:rPr>
          <w:rFonts w:eastAsia="宋体" w:ascii="Times New Roman" w:cs="Times New Roman" w:hAnsi="Times New Roman"/>
          <w:sz w:val="22"/>
        </w:rPr>
        <w:t>客户端要注意的是，要在app启动时，就添加支付的回调监听，不然就收不到自动续订成功的回调了。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[[SKPaymentQueue defaultQueue] addTransactionObserver:self];</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2021-09-17T02:07:34Z</dcterms:created>
  <dc:creator>Apache POI</dc:creator>
</cp:coreProperties>
</file>