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 812:Non-Parametric Methods</w:t>
      </w:r>
    </w:p>
    <w:p>
      <w:pPr>
        <w:pStyle w:val="Author"/>
      </w:pPr>
      <w:r>
        <w:t xml:space="preserve">Gift Pamba</w:t>
      </w:r>
    </w:p>
    <w:p>
      <w:pPr>
        <w:pStyle w:val="Date"/>
      </w:pPr>
      <w:r>
        <w:t xml:space="preserve">MSC/MAT/00098/024</w:t>
      </w:r>
    </w:p>
    <w:bookmarkStart w:id="23" w:name="exercise-13.1"/>
    <w:p>
      <w:pPr>
        <w:pStyle w:val="Heading1"/>
      </w:pPr>
      <w:r>
        <w:t xml:space="preserve">EXERCISE 13.1</w:t>
      </w:r>
    </w:p>
    <w:p>
      <w:pPr>
        <w:pStyle w:val="FirstParagraph"/>
      </w:pPr>
      <w:r>
        <w:t xml:space="preserve">Ten students take two exams. Their scores are:</w:t>
      </w:r>
    </w:p>
    <w:tbl>
      <w:tblPr>
        <w:tblStyle w:val="Table"/>
        <w:tblW w:type="pct" w:w="5000"/>
        <w:tblLayout w:type="fixed"/>
        <w:tblLook w:firstRow="0" w:lastRow="0" w:firstColumn="0" w:lastColumn="0" w:noHBand="0" w:noVBand="0" w:val="0000"/>
      </w:tblPr>
      <w:tblGrid>
        <w:gridCol w:w="1634"/>
        <w:gridCol w:w="628"/>
        <w:gridCol w:w="628"/>
        <w:gridCol w:w="628"/>
        <w:gridCol w:w="628"/>
        <w:gridCol w:w="628"/>
        <w:gridCol w:w="628"/>
        <w:gridCol w:w="628"/>
        <w:gridCol w:w="628"/>
        <w:gridCol w:w="628"/>
        <w:gridCol w:w="628"/>
      </w:tblGrid>
      <w:tr>
        <w:tc>
          <w:tcPr/>
          <w:p>
            <w:pPr>
              <w:pStyle w:val="Compact"/>
            </w:pPr>
            <w:r>
              <w:rPr>
                <w:b/>
                <w:bCs/>
              </w:rPr>
              <w:t xml:space="preserve">exam I</w:t>
            </w:r>
          </w:p>
        </w:tc>
        <w:tc>
          <w:tcPr/>
          <w:p>
            <w:pPr>
              <w:pStyle w:val="Compact"/>
            </w:pPr>
            <w:r>
              <w:t xml:space="preserve">65</w:t>
            </w:r>
          </w:p>
        </w:tc>
        <w:tc>
          <w:tcPr/>
          <w:p>
            <w:pPr>
              <w:pStyle w:val="Compact"/>
            </w:pPr>
            <w:r>
              <w:t xml:space="preserve">70</w:t>
            </w:r>
          </w:p>
        </w:tc>
        <w:tc>
          <w:tcPr/>
          <w:p>
            <w:pPr>
              <w:pStyle w:val="Compact"/>
            </w:pPr>
            <w:r>
              <w:t xml:space="preserve">55</w:t>
            </w:r>
          </w:p>
        </w:tc>
        <w:tc>
          <w:tcPr/>
          <w:p>
            <w:pPr>
              <w:pStyle w:val="Compact"/>
            </w:pPr>
            <w:r>
              <w:t xml:space="preserve">85</w:t>
            </w:r>
          </w:p>
        </w:tc>
        <w:tc>
          <w:tcPr/>
          <w:p>
            <w:pPr>
              <w:pStyle w:val="Compact"/>
            </w:pPr>
            <w:r>
              <w:t xml:space="preserve">75</w:t>
            </w:r>
          </w:p>
        </w:tc>
        <w:tc>
          <w:tcPr/>
          <w:p>
            <w:pPr>
              <w:pStyle w:val="Compact"/>
            </w:pPr>
            <w:r>
              <w:t xml:space="preserve">80</w:t>
            </w:r>
          </w:p>
        </w:tc>
        <w:tc>
          <w:tcPr/>
          <w:p>
            <w:pPr>
              <w:pStyle w:val="Compact"/>
            </w:pPr>
            <w:r>
              <w:t xml:space="preserve">90</w:t>
            </w:r>
          </w:p>
        </w:tc>
        <w:tc>
          <w:tcPr/>
          <w:p>
            <w:pPr>
              <w:pStyle w:val="Compact"/>
            </w:pPr>
            <w:r>
              <w:t xml:space="preserve">60</w:t>
            </w:r>
          </w:p>
        </w:tc>
        <w:tc>
          <w:tcPr/>
          <w:p>
            <w:pPr>
              <w:pStyle w:val="Compact"/>
            </w:pPr>
            <w:r>
              <w:t xml:space="preserve">95</w:t>
            </w:r>
          </w:p>
        </w:tc>
        <w:tc>
          <w:tcPr/>
          <w:p>
            <w:pPr>
              <w:pStyle w:val="Compact"/>
            </w:pPr>
            <w:r>
              <w:t xml:space="preserve">70</w:t>
            </w:r>
          </w:p>
        </w:tc>
      </w:tr>
      <w:tr>
        <w:tc>
          <w:tcPr/>
          <w:p>
            <w:pPr>
              <w:pStyle w:val="Compact"/>
            </w:pPr>
            <w:r>
              <w:rPr>
                <w:b/>
                <w:bCs/>
              </w:rPr>
              <w:t xml:space="preserve">exam II</w:t>
            </w:r>
          </w:p>
        </w:tc>
        <w:tc>
          <w:tcPr/>
          <w:p>
            <w:pPr>
              <w:pStyle w:val="Compact"/>
            </w:pPr>
            <w:r>
              <w:t xml:space="preserve">60</w:t>
            </w:r>
          </w:p>
        </w:tc>
        <w:tc>
          <w:tcPr/>
          <w:p>
            <w:pPr>
              <w:pStyle w:val="Compact"/>
            </w:pPr>
            <w:r>
              <w:t xml:space="preserve">68</w:t>
            </w:r>
          </w:p>
        </w:tc>
        <w:tc>
          <w:tcPr/>
          <w:p>
            <w:pPr>
              <w:pStyle w:val="Compact"/>
            </w:pPr>
            <w:r>
              <w:t xml:space="preserve">50</w:t>
            </w:r>
          </w:p>
        </w:tc>
        <w:tc>
          <w:tcPr/>
          <w:p>
            <w:pPr>
              <w:pStyle w:val="Compact"/>
            </w:pPr>
            <w:r>
              <w:t xml:space="preserve">82</w:t>
            </w:r>
          </w:p>
        </w:tc>
        <w:tc>
          <w:tcPr/>
          <w:p>
            <w:pPr>
              <w:pStyle w:val="Compact"/>
            </w:pPr>
            <w:r>
              <w:t xml:space="preserve">72</w:t>
            </w:r>
          </w:p>
        </w:tc>
        <w:tc>
          <w:tcPr/>
          <w:p>
            <w:pPr>
              <w:pStyle w:val="Compact"/>
            </w:pPr>
            <w:r>
              <w:t xml:space="preserve">78</w:t>
            </w:r>
          </w:p>
        </w:tc>
        <w:tc>
          <w:tcPr/>
          <w:p>
            <w:pPr>
              <w:pStyle w:val="Compact"/>
            </w:pPr>
            <w:r>
              <w:t xml:space="preserve">88</w:t>
            </w:r>
          </w:p>
        </w:tc>
        <w:tc>
          <w:tcPr/>
          <w:p>
            <w:pPr>
              <w:pStyle w:val="Compact"/>
            </w:pPr>
            <w:r>
              <w:t xml:space="preserve">58</w:t>
            </w:r>
          </w:p>
        </w:tc>
        <w:tc>
          <w:tcPr/>
          <w:p>
            <w:pPr>
              <w:pStyle w:val="Compact"/>
            </w:pPr>
            <w:r>
              <w:t xml:space="preserve">92</w:t>
            </w:r>
          </w:p>
        </w:tc>
        <w:tc>
          <w:tcPr/>
          <w:p>
            <w:pPr>
              <w:pStyle w:val="Compact"/>
            </w:pPr>
            <w:r>
              <w:t xml:space="preserve">65</w:t>
            </w:r>
          </w:p>
        </w:tc>
      </w:tr>
    </w:tbl>
    <w:bookmarkStart w:id="20" w:name="X602cf5168e5e2e848e2c3d5f685d281880b1ecd"/>
    <w:p>
      <w:pPr>
        <w:pStyle w:val="Heading2"/>
      </w:pPr>
      <w:r>
        <w:t xml:space="preserve">A. Compute Spearman’s rank correlation coefficient</w:t>
      </w:r>
    </w:p>
    <w:p>
      <w:pPr>
        <w:pStyle w:val="SourceCode"/>
      </w:pPr>
      <w:r>
        <w:rPr>
          <w:rStyle w:val="VerbatimChar"/>
        </w:rPr>
        <w:t xml:space="preserve">## Spearman's rank correlation</w:t>
      </w:r>
      <w:r>
        <w:br/>
      </w:r>
      <w:r>
        <w:rPr>
          <w:rStyle w:val="VerbatimChar"/>
        </w:rPr>
        <w:t xml:space="preserve">## 0.997</w:t>
      </w:r>
    </w:p>
    <w:bookmarkEnd w:id="20"/>
    <w:bookmarkStart w:id="21" w:name="X80f43a38f2e7b4a84e40d0b630b68ce815d9bfa"/>
    <w:p>
      <w:pPr>
        <w:pStyle w:val="Heading2"/>
      </w:pPr>
      <w:r>
        <w:t xml:space="preserve">B. Test whether ρ is significantly different from zero at α = 0.05</w:t>
      </w:r>
    </w:p>
    <w:p>
      <w:pPr>
        <w:pStyle w:val="SourceCode"/>
      </w:pPr>
      <w:r>
        <w:rPr>
          <w:rStyle w:val="VerbatimChar"/>
        </w:rPr>
        <w:t xml:space="preserve">## Spearman's rank correlation</w:t>
      </w:r>
      <w:r>
        <w:br/>
      </w:r>
      <w:r>
        <w:rPr>
          <w:rStyle w:val="VerbatimChar"/>
        </w:rPr>
        <w:t xml:space="preserve">## p-value: 0</w:t>
      </w:r>
      <w:r>
        <w:br/>
      </w:r>
      <w:r>
        <w:rPr>
          <w:rStyle w:val="VerbatimChar"/>
        </w:rPr>
        <w:t xml:space="preserve">## Decision: We reject null hypothesis. rho significant from zero</w:t>
      </w:r>
    </w:p>
    <w:bookmarkEnd w:id="21"/>
    <w:bookmarkStart w:id="22" w:name="c.-interpret-your-results"/>
    <w:p>
      <w:pPr>
        <w:pStyle w:val="Heading2"/>
      </w:pPr>
      <w:r>
        <w:t xml:space="preserve">C. Interpret your results</w:t>
      </w:r>
    </w:p>
    <w:p>
      <w:pPr>
        <w:pStyle w:val="FirstParagraph"/>
      </w:pPr>
      <w:r>
        <w:t xml:space="preserve">In conclusion, there exists a significant monotonic relationship between the student performance of both examinations at a 5% level.</w:t>
      </w:r>
    </w:p>
    <w:bookmarkEnd w:id="22"/>
    <w:bookmarkEnd w:id="23"/>
    <w:bookmarkStart w:id="24" w:name="exercise-13.2"/>
    <w:p>
      <w:pPr>
        <w:pStyle w:val="Heading1"/>
      </w:pPr>
      <w:r>
        <w:t xml:space="preserve">EXERCISE 13.2</w:t>
      </w:r>
    </w:p>
    <w:p>
      <w:pPr>
        <w:pStyle w:val="FirstParagraph"/>
      </w:pPr>
      <w:r>
        <w:t xml:space="preserve">Using the data from Exercise 1, compute Kendall’s tau and test its significance. Compare with Spearman’s ρ</w:t>
      </w:r>
    </w:p>
    <w:p>
      <w:pPr>
        <w:pStyle w:val="SourceCode"/>
      </w:pPr>
      <w:r>
        <w:rPr>
          <w:rStyle w:val="VerbatimChar"/>
        </w:rPr>
        <w:t xml:space="preserve">## Kendall's tau: 0.9888</w:t>
      </w:r>
      <w:r>
        <w:br/>
      </w:r>
      <w:r>
        <w:rPr>
          <w:rStyle w:val="VerbatimChar"/>
        </w:rPr>
        <w:t xml:space="preserve">## p-value: 1e-04</w:t>
      </w:r>
      <w:r>
        <w:br/>
      </w:r>
      <w:r>
        <w:rPr>
          <w:rStyle w:val="VerbatimChar"/>
        </w:rPr>
        <w:t xml:space="preserve">## Decision: We reject null hypothesis. tau significant from zero</w:t>
      </w:r>
      <w:r>
        <w:br/>
      </w:r>
      <w:r>
        <w:rPr>
          <w:rStyle w:val="VerbatimChar"/>
        </w:rPr>
        <w:t xml:space="preserve">## </w:t>
      </w:r>
      <w:r>
        <w:br/>
      </w:r>
      <w:r>
        <w:rPr>
          <w:rStyle w:val="VerbatimChar"/>
        </w:rPr>
        <w:t xml:space="preserve">## Comparison:</w:t>
      </w:r>
      <w:r>
        <w:br/>
      </w:r>
      <w:r>
        <w:rPr>
          <w:rStyle w:val="VerbatimChar"/>
        </w:rPr>
        <w:t xml:space="preserve">## Both the tests draw similar estimate values and share the same conclusion of monotonic statistical significance between the exam scores for the two exams</w:t>
      </w:r>
    </w:p>
    <w:bookmarkEnd w:id="24"/>
    <w:bookmarkStart w:id="28" w:name="exercise-13.3"/>
    <w:p>
      <w:pPr>
        <w:pStyle w:val="Heading1"/>
      </w:pPr>
      <w:r>
        <w:t xml:space="preserve">EXERCISE 13.3</w:t>
      </w:r>
    </w:p>
    <w:p>
      <w:pPr>
        <w:pStyle w:val="FirstParagraph"/>
      </w:pPr>
      <w:r>
        <w:t xml:space="preserve">The following data contain ties</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pPr>
            <w:r>
              <w:rPr>
                <w:b/>
                <w:bCs/>
              </w:rPr>
              <w:t xml:space="preserve">X</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rPr>
                <w:b/>
                <w:bCs/>
              </w:rPr>
              <w:t xml:space="preserve">Y</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5</w:t>
            </w:r>
          </w:p>
        </w:tc>
        <w:tc>
          <w:tcPr/>
          <w:p>
            <w:pPr>
              <w:pStyle w:val="Compact"/>
            </w:pPr>
            <w:r>
              <w:t xml:space="preserve">7</w:t>
            </w:r>
          </w:p>
        </w:tc>
        <w:tc>
          <w:tcPr/>
          <w:p>
            <w:pPr>
              <w:pStyle w:val="Compact"/>
            </w:pPr>
            <w:r>
              <w:t xml:space="preserve">7</w:t>
            </w:r>
          </w:p>
        </w:tc>
        <w:tc>
          <w:tcPr/>
          <w:p>
            <w:pPr>
              <w:pStyle w:val="Compact"/>
            </w:pPr>
            <w:r>
              <w:t xml:space="preserve">8</w:t>
            </w:r>
          </w:p>
        </w:tc>
        <w:tc>
          <w:tcPr/>
          <w:p>
            <w:pPr>
              <w:pStyle w:val="Compact"/>
            </w:pPr>
            <w:r>
              <w:t xml:space="preserve">8</w:t>
            </w:r>
          </w:p>
        </w:tc>
        <w:tc>
          <w:tcPr/>
          <w:p>
            <w:pPr>
              <w:pStyle w:val="Compact"/>
            </w:pPr>
            <w:r>
              <w:t xml:space="preserve">9</w:t>
            </w:r>
          </w:p>
        </w:tc>
        <w:tc>
          <w:tcPr/>
          <w:p>
            <w:pPr>
              <w:pStyle w:val="Compact"/>
            </w:pPr>
            <w:r>
              <w:t xml:space="preserve">10</w:t>
            </w:r>
          </w:p>
        </w:tc>
      </w:tr>
    </w:tbl>
    <w:bookmarkStart w:id="25" w:name="a.-compute-spearmans-ρ"/>
    <w:p>
      <w:pPr>
        <w:pStyle w:val="Heading2"/>
      </w:pPr>
      <w:r>
        <w:t xml:space="preserve">A. Compute Spearman’s ρ</w:t>
      </w:r>
    </w:p>
    <w:p>
      <w:pPr>
        <w:pStyle w:val="SourceCode"/>
      </w:pPr>
      <w:r>
        <w:rPr>
          <w:rStyle w:val="VerbatimChar"/>
        </w:rPr>
        <w:t xml:space="preserve">## Spearman's rank correlation: 0.9403</w:t>
      </w:r>
    </w:p>
    <w:bookmarkEnd w:id="25"/>
    <w:bookmarkStart w:id="26" w:name="b.-compute-kendalls-τ"/>
    <w:p>
      <w:pPr>
        <w:pStyle w:val="Heading2"/>
      </w:pPr>
      <w:r>
        <w:t xml:space="preserve">B. Compute Kendall’s τ</w:t>
      </w:r>
    </w:p>
    <w:p>
      <w:pPr>
        <w:pStyle w:val="SourceCode"/>
      </w:pPr>
      <w:r>
        <w:rPr>
          <w:rStyle w:val="VerbatimChar"/>
        </w:rPr>
        <w:t xml:space="preserve">## Kendall's tau: 0.875</w:t>
      </w:r>
    </w:p>
    <w:bookmarkEnd w:id="26"/>
    <w:bookmarkStart w:id="27" w:name="X8c783c8153049d038174b3962c9a67ecf14125f"/>
    <w:p>
      <w:pPr>
        <w:pStyle w:val="Heading2"/>
      </w:pPr>
      <w:r>
        <w:t xml:space="preserve">C. Which measure do you think is more appropriate for these data?</w:t>
      </w:r>
    </w:p>
    <w:p>
      <w:pPr>
        <w:pStyle w:val="FirstParagraph"/>
      </w:pPr>
      <w:r>
        <w:t xml:space="preserve">The Kendall’s tau. It is better at handling tied observations better than Spearman’s rank correlation.</w:t>
      </w:r>
    </w:p>
    <w:bookmarkEnd w:id="27"/>
    <w:bookmarkEnd w:id="28"/>
    <w:bookmarkStart w:id="32" w:name="exercise-13.4"/>
    <w:p>
      <w:pPr>
        <w:pStyle w:val="Heading1"/>
      </w:pPr>
      <w:r>
        <w:t xml:space="preserve">EXERCISE 13.4</w:t>
      </w:r>
    </w:p>
    <w:p>
      <w:pPr>
        <w:pStyle w:val="FirstParagraph"/>
      </w:pPr>
      <w:r>
        <w:t xml:space="preserve">Generate a dataset of n = 10 with a perfect positive linear relationship (X = 1 : 10, Y = X). Then add an outlier (X = 11, Y = 1)</w:t>
      </w:r>
    </w:p>
    <w:bookmarkStart w:id="29" w:name="X4dd367c8b66e4ffbf6862ec382a9642f8f0844b"/>
    <w:p>
      <w:pPr>
        <w:pStyle w:val="Heading2"/>
      </w:pPr>
      <w:r>
        <w:t xml:space="preserve">A. Compute Pearson’s r, Spearman’s ρ, and Kendall’s τ for the original data</w:t>
      </w:r>
    </w:p>
    <w:p>
      <w:pPr>
        <w:pStyle w:val="SourceCode"/>
      </w:pPr>
      <w:r>
        <w:rPr>
          <w:rStyle w:val="VerbatimChar"/>
        </w:rPr>
        <w:t xml:space="preserve">## Pearson's correlation: 1</w:t>
      </w:r>
      <w:r>
        <w:br/>
      </w:r>
      <w:r>
        <w:rPr>
          <w:rStyle w:val="VerbatimChar"/>
        </w:rPr>
        <w:t xml:space="preserve">## Spearman's rank correlation: 1</w:t>
      </w:r>
      <w:r>
        <w:br/>
      </w:r>
      <w:r>
        <w:rPr>
          <w:rStyle w:val="VerbatimChar"/>
        </w:rPr>
        <w:t xml:space="preserve">## Kendall's tau: 1</w:t>
      </w:r>
    </w:p>
    <w:bookmarkEnd w:id="29"/>
    <w:bookmarkStart w:id="30" w:name="X7d1e59325d507b70e98632480bb9d985e2d000f"/>
    <w:p>
      <w:pPr>
        <w:pStyle w:val="Heading2"/>
      </w:pPr>
      <w:r>
        <w:t xml:space="preserve">B. Compute the same measures for the data with the outlier</w:t>
      </w:r>
    </w:p>
    <w:p>
      <w:pPr>
        <w:pStyle w:val="SourceCode"/>
      </w:pPr>
      <w:r>
        <w:rPr>
          <w:rStyle w:val="VerbatimChar"/>
        </w:rPr>
        <w:t xml:space="preserve">## Pearson's correlation: 0.5695</w:t>
      </w:r>
      <w:r>
        <w:br/>
      </w:r>
      <w:r>
        <w:rPr>
          <w:rStyle w:val="VerbatimChar"/>
        </w:rPr>
        <w:t xml:space="preserve">## Spearman's rank correlation: 0.5467</w:t>
      </w:r>
      <w:r>
        <w:br/>
      </w:r>
      <w:r>
        <w:rPr>
          <w:rStyle w:val="VerbatimChar"/>
        </w:rPr>
        <w:t xml:space="preserve">## Kendall's tau: 0.6606</w:t>
      </w:r>
    </w:p>
    <w:bookmarkEnd w:id="30"/>
    <w:bookmarkStart w:id="31" w:name="X15cf57b0968e02e91917c90c2fb5541d7d959fd"/>
    <w:p>
      <w:pPr>
        <w:pStyle w:val="Heading2"/>
      </w:pPr>
      <w:r>
        <w:t xml:space="preserve">C. Compare the robustness of the three measures</w:t>
      </w:r>
    </w:p>
    <w:p>
      <w:pPr>
        <w:pStyle w:val="FirstParagraph"/>
      </w:pPr>
      <w:r>
        <w:t xml:space="preserve">Kendall’s tau has the least deviation as compared to pearson and spearman correlation as a result of adding the extreme observation. This makes it the most robust out of the three.</w:t>
      </w:r>
    </w:p>
    <w:bookmarkEnd w:id="31"/>
    <w:bookmarkEnd w:id="32"/>
    <w:bookmarkStart w:id="36" w:name="exercise-13.5"/>
    <w:p>
      <w:pPr>
        <w:pStyle w:val="Heading1"/>
      </w:pPr>
      <w:r>
        <w:t xml:space="preserve">EXERCISE 13.5</w:t>
      </w:r>
    </w:p>
    <w:p>
      <w:pPr>
        <w:pStyle w:val="FirstParagraph"/>
      </w:pPr>
      <w:r>
        <w:t xml:space="preserve">For the data in Exercise 1, construct:</w:t>
      </w:r>
    </w:p>
    <w:bookmarkStart w:id="33" w:name="Xdda0943a3c390b73fbd3960bb7ddfc5705703c2"/>
    <w:p>
      <w:pPr>
        <w:pStyle w:val="Heading2"/>
      </w:pPr>
      <w:r>
        <w:t xml:space="preserve">A. A 95% confidence interval for Spearman’s rho using Fisher’s z-transformation</w:t>
      </w:r>
    </w:p>
    <w:p>
      <w:pPr>
        <w:pStyle w:val="SourceCode"/>
      </w:pPr>
      <w:r>
        <w:rPr>
          <w:rStyle w:val="VerbatimChar"/>
        </w:rPr>
        <w:t xml:space="preserve">## [0.9867, 0.9993]</w:t>
      </w:r>
    </w:p>
    <w:bookmarkEnd w:id="33"/>
    <w:bookmarkStart w:id="34" w:name="X71bfae28113b26040661489974d009a72f8a65e"/>
    <w:p>
      <w:pPr>
        <w:pStyle w:val="Heading2"/>
      </w:pPr>
      <w:r>
        <w:t xml:space="preserve">B. A 95% confidence interval for Kendall’s tau using the large-scale approximation</w:t>
      </w:r>
    </w:p>
    <w:p>
      <w:pPr>
        <w:pStyle w:val="SourceCode"/>
      </w:pPr>
      <w:r>
        <w:rPr>
          <w:rStyle w:val="VerbatimChar"/>
        </w:rPr>
        <w:t xml:space="preserve">## [-0.204, 1]</w:t>
      </w:r>
    </w:p>
    <w:bookmarkEnd w:id="34"/>
    <w:bookmarkStart w:id="35" w:name="c.-compare-the-widths-of-the-intervals"/>
    <w:p>
      <w:pPr>
        <w:pStyle w:val="Heading2"/>
      </w:pPr>
      <w:r>
        <w:t xml:space="preserve">C. Compare the widths of the intervals</w:t>
      </w:r>
    </w:p>
    <w:p>
      <w:pPr>
        <w:pStyle w:val="FirstParagraph"/>
      </w:pPr>
      <w:r>
        <w:t xml:space="preserve">Spearman’s rank correlation has a narrower interval than Kendall’s tau.</w:t>
      </w:r>
    </w:p>
    <w:bookmarkEnd w:id="35"/>
    <w:bookmarkEnd w:id="36"/>
    <w:bookmarkStart w:id="40" w:name="exercise-13.6"/>
    <w:p>
      <w:pPr>
        <w:pStyle w:val="Heading1"/>
      </w:pPr>
      <w:r>
        <w:t xml:space="preserve">EXERCISE 13.6</w:t>
      </w:r>
    </w:p>
    <w:p>
      <w:pPr>
        <w:pStyle w:val="FirstParagraph"/>
      </w:pPr>
      <w:r>
        <w:t xml:space="preserve">A survey classifies 200 individuals by gender and political party preference: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r>
              <w:t xml:space="preserve">Democrat</w:t>
            </w:r>
          </w:p>
        </w:tc>
        <w:tc>
          <w:tcPr/>
          <w:p>
            <w:pPr>
              <w:pStyle w:val="Compact"/>
            </w:pPr>
            <w:r>
              <w:t xml:space="preserve">Republican</w:t>
            </w:r>
          </w:p>
        </w:tc>
        <w:tc>
          <w:tcPr/>
          <w:p>
            <w:pPr>
              <w:pStyle w:val="Compact"/>
            </w:pPr>
            <w:r>
              <w:t xml:space="preserve">Independent</w:t>
            </w:r>
          </w:p>
        </w:tc>
        <w:tc>
          <w:tcPr/>
          <w:p>
            <w:pPr>
              <w:pStyle w:val="Compact"/>
            </w:pPr>
            <w:r>
              <w:t xml:space="preserve">Total</w:t>
            </w:r>
          </w:p>
        </w:tc>
      </w:tr>
      <w:tr>
        <w:tc>
          <w:tcPr/>
          <w:p>
            <w:pPr>
              <w:pStyle w:val="Compact"/>
            </w:pPr>
            <w:r>
              <w:t xml:space="preserve">Male</w:t>
            </w:r>
          </w:p>
        </w:tc>
        <w:tc>
          <w:tcPr/>
          <w:p>
            <w:pPr>
              <w:pStyle w:val="Compact"/>
            </w:pPr>
            <w:r>
              <w:t xml:space="preserve">45</w:t>
            </w:r>
          </w:p>
        </w:tc>
        <w:tc>
          <w:tcPr/>
          <w:p>
            <w:pPr>
              <w:pStyle w:val="Compact"/>
            </w:pPr>
            <w:r>
              <w:t xml:space="preserve">55</w:t>
            </w:r>
          </w:p>
        </w:tc>
        <w:tc>
          <w:tcPr/>
          <w:p>
            <w:pPr>
              <w:pStyle w:val="Compact"/>
            </w:pPr>
            <w:r>
              <w:t xml:space="preserve">20</w:t>
            </w:r>
          </w:p>
        </w:tc>
        <w:tc>
          <w:tcPr/>
          <w:p>
            <w:pPr>
              <w:pStyle w:val="Compact"/>
            </w:pPr>
            <w:r>
              <w:t xml:space="preserve">120</w:t>
            </w:r>
          </w:p>
        </w:tc>
      </w:tr>
      <w:tr>
        <w:tc>
          <w:tcPr/>
          <w:p>
            <w:pPr>
              <w:pStyle w:val="Compact"/>
            </w:pPr>
            <w:r>
              <w:t xml:space="preserve">Female</w:t>
            </w:r>
          </w:p>
        </w:tc>
        <w:tc>
          <w:tcPr/>
          <w:p>
            <w:pPr>
              <w:pStyle w:val="Compact"/>
            </w:pPr>
            <w:r>
              <w:t xml:space="preserve">60</w:t>
            </w:r>
          </w:p>
        </w:tc>
        <w:tc>
          <w:tcPr/>
          <w:p>
            <w:pPr>
              <w:pStyle w:val="Compact"/>
            </w:pPr>
            <w:r>
              <w:t xml:space="preserve">40</w:t>
            </w:r>
          </w:p>
        </w:tc>
        <w:tc>
          <w:tcPr/>
          <w:p>
            <w:pPr>
              <w:pStyle w:val="Compact"/>
            </w:pPr>
            <w:r>
              <w:t xml:space="preserve">30</w:t>
            </w:r>
          </w:p>
        </w:tc>
        <w:tc>
          <w:tcPr/>
          <w:p>
            <w:pPr>
              <w:pStyle w:val="Compact"/>
            </w:pPr>
            <w:r>
              <w:t xml:space="preserve">130</w:t>
            </w:r>
          </w:p>
        </w:tc>
      </w:tr>
      <w:tr>
        <w:tc>
          <w:tcPr/>
          <w:p>
            <w:pPr>
              <w:pStyle w:val="Compact"/>
            </w:pPr>
            <w:r>
              <w:t xml:space="preserve">Total</w:t>
            </w:r>
          </w:p>
        </w:tc>
        <w:tc>
          <w:tcPr/>
          <w:p>
            <w:pPr>
              <w:pStyle w:val="Compact"/>
            </w:pPr>
            <w:r>
              <w:t xml:space="preserve">105</w:t>
            </w:r>
          </w:p>
        </w:tc>
        <w:tc>
          <w:tcPr/>
          <w:p>
            <w:pPr>
              <w:pStyle w:val="Compact"/>
            </w:pPr>
            <w:r>
              <w:t xml:space="preserve">95</w:t>
            </w:r>
          </w:p>
        </w:tc>
        <w:tc>
          <w:tcPr/>
          <w:p>
            <w:pPr>
              <w:pStyle w:val="Compact"/>
            </w:pPr>
            <w:r>
              <w:t xml:space="preserve">50</w:t>
            </w:r>
          </w:p>
        </w:tc>
        <w:tc>
          <w:tcPr/>
          <w:p>
            <w:pPr>
              <w:pStyle w:val="Compact"/>
            </w:pPr>
            <w:r>
              <w:t xml:space="preserve">250</w:t>
            </w:r>
          </w:p>
        </w:tc>
      </w:tr>
    </w:tbl>
    <w:bookmarkStart w:id="37" w:name="Xb1028d60803dd6543db570d5ff0443ec0b6875d"/>
    <w:p>
      <w:pPr>
        <w:pStyle w:val="Heading2"/>
      </w:pPr>
      <w:r>
        <w:t xml:space="preserve">A. Test whether gender and party preference are independent using the Chi-square test at 5% significance level</w:t>
      </w:r>
    </w:p>
    <w:p>
      <w:pPr>
        <w:pStyle w:val="SourceCode"/>
      </w:pPr>
      <w:r>
        <w:rPr>
          <w:rStyle w:val="VerbatimChar"/>
        </w:rPr>
        <w:t xml:space="preserve">## Chi-square test for independence</w:t>
      </w:r>
      <w:r>
        <w:br/>
      </w:r>
      <w:r>
        <w:rPr>
          <w:rStyle w:val="VerbatimChar"/>
        </w:rPr>
        <w:t xml:space="preserve">## p-value: 0.0469</w:t>
      </w:r>
      <w:r>
        <w:br/>
      </w:r>
      <w:r>
        <w:rPr>
          <w:rStyle w:val="VerbatimChar"/>
        </w:rPr>
        <w:t xml:space="preserve">## Decision: Reject the null hypothesis</w:t>
      </w:r>
    </w:p>
    <w:bookmarkEnd w:id="37"/>
    <w:bookmarkStart w:id="38" w:name="Xad44eefd248d1b845eea63f3f7a8828823080fe"/>
    <w:p>
      <w:pPr>
        <w:pStyle w:val="Heading2"/>
      </w:pPr>
      <w:r>
        <w:t xml:space="preserve">B. Check whether the chi-square approximation is valid</w:t>
      </w:r>
    </w:p>
    <w:p>
      <w:pPr>
        <w:pStyle w:val="SourceCode"/>
      </w:pPr>
      <w:r>
        <w:rPr>
          <w:rStyle w:val="VerbatimChar"/>
        </w:rPr>
        <w:t xml:space="preserve">##        Democrat Republican Independent</w:t>
      </w:r>
      <w:r>
        <w:br/>
      </w:r>
      <w:r>
        <w:rPr>
          <w:rStyle w:val="VerbatimChar"/>
        </w:rPr>
        <w:t xml:space="preserve">## Male       50.4       45.6          24</w:t>
      </w:r>
      <w:r>
        <w:br/>
      </w:r>
      <w:r>
        <w:rPr>
          <w:rStyle w:val="VerbatimChar"/>
        </w:rPr>
        <w:t xml:space="preserve">## Female     54.6       49.4          26</w:t>
      </w:r>
    </w:p>
    <w:p>
      <w:pPr>
        <w:pStyle w:val="FirstParagraph"/>
      </w:pPr>
      <w:r>
        <w:t xml:space="preserve">No expected value is below 5. Thus, the chi-square approximation is valid.</w:t>
      </w:r>
    </w:p>
    <w:bookmarkEnd w:id="38"/>
    <w:bookmarkStart w:id="39" w:name="c.-interpret-your-results-1"/>
    <w:p>
      <w:pPr>
        <w:pStyle w:val="Heading2"/>
      </w:pPr>
      <w:r>
        <w:t xml:space="preserve">C. Interpret your results</w:t>
      </w:r>
    </w:p>
    <w:p>
      <w:pPr>
        <w:pStyle w:val="FirstParagraph"/>
      </w:pPr>
      <w:r>
        <w:t xml:space="preserve">At a 5% significance level, sample data from 250 participants show that the choice of political party is associated to gender.</w:t>
      </w:r>
    </w:p>
    <w:bookmarkEnd w:id="39"/>
    <w:bookmarkEnd w:id="40"/>
    <w:bookmarkStart w:id="44" w:name="exercise-13.7"/>
    <w:p>
      <w:pPr>
        <w:pStyle w:val="Heading1"/>
      </w:pPr>
      <w:r>
        <w:t xml:space="preserve">EXERCISE 13.7</w:t>
      </w:r>
    </w:p>
    <w:p>
      <w:pPr>
        <w:pStyle w:val="FirstParagraph"/>
      </w:pPr>
      <w:r>
        <w:t xml:space="preserve">Simulate data from the following models with</w:t>
      </w:r>
      <w:r>
        <w:t xml:space="preserve"> </w:t>
      </w:r>
      <m:oMath>
        <m:r>
          <m:t>n</m:t>
        </m:r>
        <m:r>
          <m:rPr>
            <m:sty m:val="p"/>
          </m:rPr>
          <m:t>=</m:t>
        </m:r>
        <m:r>
          <m:t>20</m:t>
        </m:r>
      </m:oMath>
      <w:r>
        <w:t xml:space="preserve">:</w:t>
      </w:r>
    </w:p>
    <w:bookmarkStart w:id="41" w:name="a"/>
    <w:p>
      <w:pPr>
        <w:pStyle w:val="Heading2"/>
      </w:pPr>
      <w:r>
        <w:t xml:space="preserve">A</w:t>
      </w:r>
    </w:p>
    <w:p>
      <w:pPr>
        <w:pStyle w:val="FirstParagraph"/>
      </w:pPr>
      <m:oMath>
        <m:r>
          <m:t>Y</m:t>
        </m:r>
        <m:r>
          <m:rPr>
            <m:sty m:val="p"/>
          </m:rPr>
          <m:t>=</m:t>
        </m:r>
        <m:r>
          <m:t>X</m:t>
        </m:r>
        <m:r>
          <m:rPr>
            <m:sty m:val="p"/>
          </m:rPr>
          <m:t>+</m:t>
        </m:r>
        <m:r>
          <m:t>ϵ</m:t>
        </m:r>
        <m:r>
          <m:rPr>
            <m:sty m:val="p"/>
          </m:rPr>
          <m:t>,</m:t>
        </m:r>
        <m:r>
          <m:t>ϵ</m:t>
        </m:r>
        <m:r>
          <m:rPr>
            <m:sty m:val="p"/>
          </m:rPr>
          <m:t>∼</m:t>
        </m:r>
        <m:r>
          <m:t>N</m:t>
        </m:r>
        <m:d>
          <m:dPr>
            <m:begChr m:val="("/>
            <m:endChr m:val=")"/>
            <m:sepChr m:val=""/>
            <m:grow/>
          </m:dPr>
          <m:e>
            <m:r>
              <m:t>0</m:t>
            </m:r>
            <m:r>
              <m:rPr>
                <m:sty m:val="p"/>
              </m:rPr>
              <m:t>,</m:t>
            </m:r>
            <m:r>
              <m:t>1</m:t>
            </m:r>
          </m:e>
        </m:d>
        <m:r>
          <m:rPr>
            <m:sty m:val="p"/>
          </m:rPr>
          <m:t>,</m:t>
        </m:r>
        <m:r>
          <m:t>X</m:t>
        </m:r>
        <m:r>
          <m:rPr>
            <m:sty m:val="p"/>
          </m:rPr>
          <m:t>∼</m:t>
        </m:r>
        <m:r>
          <m:t>U</m:t>
        </m:r>
        <m:d>
          <m:dPr>
            <m:begChr m:val="("/>
            <m:endChr m:val=")"/>
            <m:sepChr m:val=""/>
            <m:grow/>
          </m:dPr>
          <m:e>
            <m:r>
              <m:t>0</m:t>
            </m:r>
            <m:r>
              <m:rPr>
                <m:sty m:val="p"/>
              </m:rPr>
              <m:t>,</m:t>
            </m:r>
            <m:r>
              <m:t>10</m:t>
            </m:r>
          </m:e>
        </m:d>
      </m:oMath>
    </w:p>
    <w:p>
      <w:pPr>
        <w:pStyle w:val="SourceCode"/>
      </w:pPr>
      <w:r>
        <w:rPr>
          <w:rStyle w:val="VerbatimChar"/>
        </w:rPr>
        <w:t xml:space="preserve">## Empirical power: Simulation A</w:t>
      </w:r>
      <w:r>
        <w:br/>
      </w:r>
      <w:r>
        <w:rPr>
          <w:rStyle w:val="VerbatimChar"/>
        </w:rPr>
        <w:t xml:space="preserve">## Pearson: 100%</w:t>
      </w:r>
      <w:r>
        <w:br/>
      </w:r>
      <w:r>
        <w:rPr>
          <w:rStyle w:val="VerbatimChar"/>
        </w:rPr>
        <w:t xml:space="preserve">## Spearman: 100%</w:t>
      </w:r>
      <w:r>
        <w:br/>
      </w:r>
      <w:r>
        <w:rPr>
          <w:rStyle w:val="VerbatimChar"/>
        </w:rPr>
        <w:t xml:space="preserve">## Kendall: 100%</w:t>
      </w:r>
    </w:p>
    <w:bookmarkEnd w:id="41"/>
    <w:bookmarkStart w:id="42" w:name="b"/>
    <w:p>
      <w:pPr>
        <w:pStyle w:val="Heading2"/>
      </w:pPr>
      <w:r>
        <w:t xml:space="preserve">B</w:t>
      </w:r>
    </w:p>
    <w:p>
      <w:pPr>
        <w:pStyle w:val="FirstParagraph"/>
      </w:pPr>
      <m:oMath>
        <m:r>
          <m:t>Y</m:t>
        </m:r>
        <m:r>
          <m:rPr>
            <m:sty m:val="p"/>
          </m:rPr>
          <m:t>=</m:t>
        </m:r>
        <m:sSup>
          <m:e>
            <m:r>
              <m:t>X</m:t>
            </m:r>
          </m:e>
          <m:sup>
            <m:r>
              <m:t>2</m:t>
            </m:r>
          </m:sup>
        </m:sSup>
        <m:r>
          <m:rPr>
            <m:sty m:val="p"/>
          </m:rPr>
          <m:t>+</m:t>
        </m:r>
        <m:r>
          <m:t>ϵ</m:t>
        </m:r>
        <m:r>
          <m:rPr>
            <m:sty m:val="p"/>
          </m:rPr>
          <m:t>,</m:t>
        </m:r>
        <m:r>
          <m:t>ϵ</m:t>
        </m:r>
        <m:r>
          <m:rPr>
            <m:sty m:val="p"/>
          </m:rPr>
          <m:t>∼</m:t>
        </m:r>
        <m:r>
          <m:t>N</m:t>
        </m:r>
        <m:d>
          <m:dPr>
            <m:begChr m:val="("/>
            <m:endChr m:val=")"/>
            <m:sepChr m:val=""/>
            <m:grow/>
          </m:dPr>
          <m:e>
            <m:r>
              <m:t>0</m:t>
            </m:r>
            <m:r>
              <m:rPr>
                <m:sty m:val="p"/>
              </m:rPr>
              <m:t>,</m:t>
            </m:r>
            <m:r>
              <m:t>5</m:t>
            </m:r>
          </m:e>
        </m:d>
        <m:r>
          <m:rPr>
            <m:sty m:val="p"/>
          </m:rPr>
          <m:t>,</m:t>
        </m:r>
        <m:r>
          <m:t>X</m:t>
        </m:r>
        <m:r>
          <m:rPr>
            <m:sty m:val="p"/>
          </m:rPr>
          <m:t>∼</m:t>
        </m:r>
        <m:r>
          <m:t>U</m:t>
        </m:r>
        <m:d>
          <m:dPr>
            <m:begChr m:val="("/>
            <m:endChr m:val=")"/>
            <m:sepChr m:val=""/>
            <m:grow/>
          </m:dPr>
          <m:e>
            <m:r>
              <m:rPr>
                <m:sty m:val="p"/>
              </m:rPr>
              <m:t>−</m:t>
            </m:r>
            <m:r>
              <m:t>3</m:t>
            </m:r>
            <m:r>
              <m:rPr>
                <m:sty m:val="p"/>
              </m:rPr>
              <m:t>,</m:t>
            </m:r>
            <m:r>
              <m:t>3</m:t>
            </m:r>
          </m:e>
        </m:d>
      </m:oMath>
    </w:p>
    <w:p>
      <w:pPr>
        <w:pStyle w:val="SourceCode"/>
      </w:pPr>
      <w:r>
        <w:rPr>
          <w:rStyle w:val="VerbatimChar"/>
        </w:rPr>
        <w:t xml:space="preserve">## Empirical power: Simulation B</w:t>
      </w:r>
      <w:r>
        <w:br/>
      </w:r>
      <w:r>
        <w:rPr>
          <w:rStyle w:val="VerbatimChar"/>
        </w:rPr>
        <w:t xml:space="preserve">## Pearson: 6.1%</w:t>
      </w:r>
      <w:r>
        <w:br/>
      </w:r>
      <w:r>
        <w:rPr>
          <w:rStyle w:val="VerbatimChar"/>
        </w:rPr>
        <w:t xml:space="preserve">## Spearman: 6.3%</w:t>
      </w:r>
      <w:r>
        <w:br/>
      </w:r>
      <w:r>
        <w:rPr>
          <w:rStyle w:val="VerbatimChar"/>
        </w:rPr>
        <w:t xml:space="preserve">## Kendall: 7%</w:t>
      </w:r>
    </w:p>
    <w:bookmarkEnd w:id="42"/>
    <w:bookmarkStart w:id="43" w:name="c"/>
    <w:p>
      <w:pPr>
        <w:pStyle w:val="Heading2"/>
      </w:pPr>
      <w:r>
        <w:t xml:space="preserve">C</w:t>
      </w:r>
    </w:p>
    <w:p>
      <w:pPr>
        <w:pStyle w:val="FirstParagraph"/>
      </w:pPr>
      <m:oMath>
        <m:r>
          <m:t>Y</m:t>
        </m:r>
        <m:r>
          <m:rPr>
            <m:sty m:val="p"/>
          </m:rPr>
          <m:t>=</m:t>
        </m:r>
        <m:sSup>
          <m:e>
            <m:r>
              <m:t>e</m:t>
            </m:r>
          </m:e>
          <m:sup>
            <m:r>
              <m:t>X</m:t>
            </m:r>
          </m:sup>
        </m:sSup>
        <m:r>
          <m:rPr>
            <m:sty m:val="p"/>
          </m:rPr>
          <m:t>+</m:t>
        </m:r>
        <m:r>
          <m:t>ϵ</m:t>
        </m:r>
        <m:r>
          <m:rPr>
            <m:sty m:val="p"/>
          </m:rPr>
          <m:t>,</m:t>
        </m:r>
        <m:r>
          <m:t>ϵ</m:t>
        </m:r>
        <m:r>
          <m:rPr>
            <m:sty m:val="p"/>
          </m:rPr>
          <m:t>∼</m:t>
        </m:r>
        <m:r>
          <m:t>N</m:t>
        </m:r>
        <m:d>
          <m:dPr>
            <m:begChr m:val="("/>
            <m:endChr m:val=")"/>
            <m:sepChr m:val=""/>
            <m:grow/>
          </m:dPr>
          <m:e>
            <m:r>
              <m:t>0</m:t>
            </m:r>
            <m:r>
              <m:rPr>
                <m:sty m:val="p"/>
              </m:rPr>
              <m:t>,</m:t>
            </m:r>
            <m:r>
              <m:t>1</m:t>
            </m:r>
          </m:e>
        </m:d>
        <m:r>
          <m:rPr>
            <m:sty m:val="p"/>
          </m:rPr>
          <m:t>,</m:t>
        </m:r>
        <m:r>
          <m:t>X</m:t>
        </m:r>
        <m:r>
          <m:rPr>
            <m:sty m:val="p"/>
          </m:rPr>
          <m:t>∼</m:t>
        </m:r>
        <m:r>
          <m:t>U</m:t>
        </m:r>
        <m:d>
          <m:dPr>
            <m:begChr m:val="("/>
            <m:endChr m:val=")"/>
            <m:sepChr m:val=""/>
            <m:grow/>
          </m:dPr>
          <m:e>
            <m:r>
              <m:t>0</m:t>
            </m:r>
            <m:r>
              <m:rPr>
                <m:sty m:val="p"/>
              </m:rPr>
              <m:t>,</m:t>
            </m:r>
            <m:r>
              <m:t>2</m:t>
            </m:r>
          </m:e>
        </m:d>
      </m:oMath>
    </w:p>
    <w:p>
      <w:pPr>
        <w:pStyle w:val="SourceCode"/>
      </w:pPr>
      <w:r>
        <w:rPr>
          <w:rStyle w:val="VerbatimChar"/>
        </w:rPr>
        <w:t xml:space="preserve">## Empirical power: Simulation C</w:t>
      </w:r>
      <w:r>
        <w:br/>
      </w:r>
      <w:r>
        <w:rPr>
          <w:rStyle w:val="VerbatimChar"/>
        </w:rPr>
        <w:t xml:space="preserve">## Pearson: 100%</w:t>
      </w:r>
      <w:r>
        <w:br/>
      </w:r>
      <w:r>
        <w:rPr>
          <w:rStyle w:val="VerbatimChar"/>
        </w:rPr>
        <w:t xml:space="preserve">## Spearman: 99.7%</w:t>
      </w:r>
      <w:r>
        <w:br/>
      </w:r>
      <w:r>
        <w:rPr>
          <w:rStyle w:val="VerbatimChar"/>
        </w:rPr>
        <w:t xml:space="preserve">## Kendall: 99.9%</w:t>
      </w:r>
    </w:p>
    <w:p>
      <w:pPr>
        <w:pStyle w:val="FirstParagraph"/>
      </w:pPr>
      <w:r>
        <w:t xml:space="preserve">For each model, compute Pearson’s r, Spearman’s</w:t>
      </w:r>
      <w:r>
        <w:t xml:space="preserve"> </w:t>
      </w:r>
      <m:oMath>
        <m:r>
          <m:t>ρ</m:t>
        </m:r>
      </m:oMath>
      <w:r>
        <w:t xml:space="preserve"> </w:t>
      </w:r>
      <w:r>
        <w:t xml:space="preserve">and Kendall’s</w:t>
      </w:r>
      <w:r>
        <w:t xml:space="preserve"> </w:t>
      </w:r>
      <m:oMath>
        <m:r>
          <m:t>τ</m:t>
        </m:r>
      </m:oMath>
      <w:r>
        <w:t xml:space="preserve">. Repeat 1000 times and compare the empirical power to detect association. What do you conclude about the robustness of each measure to non-linearity</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r>
              <w:rPr>
                <w:b/>
                <w:bCs/>
              </w:rPr>
              <w:t xml:space="preserve">simulation A</w:t>
            </w:r>
          </w:p>
        </w:tc>
        <w:tc>
          <w:tcPr/>
          <w:p>
            <w:pPr>
              <w:pStyle w:val="Compact"/>
            </w:pPr>
            <w:r>
              <w:rPr>
                <w:b/>
                <w:bCs/>
              </w:rPr>
              <w:t xml:space="preserve">simulation B</w:t>
            </w:r>
          </w:p>
        </w:tc>
        <w:tc>
          <w:tcPr/>
          <w:p>
            <w:pPr>
              <w:pStyle w:val="Compact"/>
            </w:pPr>
            <w:r>
              <w:rPr>
                <w:b/>
                <w:bCs/>
              </w:rPr>
              <w:t xml:space="preserve">simulation C</w:t>
            </w:r>
          </w:p>
        </w:tc>
      </w:tr>
      <w:tr>
        <w:tc>
          <w:tcPr/>
          <w:p>
            <w:pPr>
              <w:pStyle w:val="Compact"/>
            </w:pPr>
            <w:r>
              <w:t xml:space="preserve">Pearson</w:t>
            </w:r>
          </w:p>
        </w:tc>
        <w:tc>
          <w:tcPr/>
          <w:p>
            <w:pPr>
              <w:pStyle w:val="Compact"/>
            </w:pPr>
            <w:r>
              <w:t xml:space="preserve">100%</w:t>
            </w:r>
          </w:p>
        </w:tc>
        <w:tc>
          <w:tcPr/>
          <w:p>
            <w:pPr>
              <w:pStyle w:val="Compact"/>
            </w:pPr>
            <w:r>
              <w:t xml:space="preserve">6.1%</w:t>
            </w:r>
          </w:p>
        </w:tc>
        <w:tc>
          <w:tcPr/>
          <w:p>
            <w:pPr>
              <w:pStyle w:val="Compact"/>
            </w:pPr>
            <w:r>
              <w:t xml:space="preserve">100%</w:t>
            </w:r>
          </w:p>
        </w:tc>
      </w:tr>
      <w:tr>
        <w:tc>
          <w:tcPr/>
          <w:p>
            <w:pPr>
              <w:pStyle w:val="Compact"/>
            </w:pPr>
            <w:r>
              <w:t xml:space="preserve">Spearman</w:t>
            </w:r>
          </w:p>
        </w:tc>
        <w:tc>
          <w:tcPr/>
          <w:p>
            <w:pPr>
              <w:pStyle w:val="Compact"/>
            </w:pPr>
            <w:r>
              <w:t xml:space="preserve">100%</w:t>
            </w:r>
          </w:p>
        </w:tc>
        <w:tc>
          <w:tcPr/>
          <w:p>
            <w:pPr>
              <w:pStyle w:val="Compact"/>
            </w:pPr>
            <w:r>
              <w:t xml:space="preserve">6.3%</w:t>
            </w:r>
          </w:p>
        </w:tc>
        <w:tc>
          <w:tcPr/>
          <w:p>
            <w:pPr>
              <w:pStyle w:val="Compact"/>
            </w:pPr>
            <w:r>
              <w:t xml:space="preserve">99.7%</w:t>
            </w:r>
          </w:p>
        </w:tc>
      </w:tr>
      <w:tr>
        <w:tc>
          <w:tcPr/>
          <w:p>
            <w:pPr>
              <w:pStyle w:val="Compact"/>
            </w:pPr>
            <w:r>
              <w:t xml:space="preserve">Kendall</w:t>
            </w:r>
          </w:p>
        </w:tc>
        <w:tc>
          <w:tcPr/>
          <w:p>
            <w:pPr>
              <w:pStyle w:val="Compact"/>
            </w:pPr>
            <w:r>
              <w:t xml:space="preserve">100%</w:t>
            </w:r>
          </w:p>
        </w:tc>
        <w:tc>
          <w:tcPr/>
          <w:p>
            <w:pPr>
              <w:pStyle w:val="Compact"/>
            </w:pPr>
            <w:r>
              <w:t xml:space="preserve">7%</w:t>
            </w:r>
          </w:p>
        </w:tc>
        <w:tc>
          <w:tcPr/>
          <w:p>
            <w:pPr>
              <w:pStyle w:val="Compact"/>
            </w:pPr>
            <w:r>
              <w:t xml:space="preserve">99.9%</w:t>
            </w:r>
          </w:p>
        </w:tc>
      </w:tr>
    </w:tbl>
    <w:p>
      <w:pPr>
        <w:pStyle w:val="BodyText"/>
      </w:pPr>
      <w:r>
        <w:rPr>
          <w:b/>
          <w:bCs/>
        </w:rPr>
        <w:t xml:space="preserve">Pearson’s coefficient</w:t>
      </w:r>
      <w:r>
        <w:t xml:space="preserve"> </w:t>
      </w:r>
      <w:r>
        <w:t xml:space="preserve">is robust to variables that exhibit linear (simulation A) and exponential (simulation C) associations. It performs poorly when trying to capture associations between variables having a quadratic trend. (simulation B)</w:t>
      </w:r>
    </w:p>
    <w:p>
      <w:pPr>
        <w:pStyle w:val="BodyText"/>
      </w:pPr>
      <w:r>
        <w:rPr>
          <w:b/>
          <w:bCs/>
        </w:rPr>
        <w:t xml:space="preserve">Spearman’s rank coefficient</w:t>
      </w:r>
      <w:r>
        <w:t xml:space="preserve"> </w:t>
      </w:r>
      <w:r>
        <w:t xml:space="preserve">is more robust when it makes an attempt to capture linear associations as compared to exponential ones. It registers a poor but slightly better empirical power than Pearson’s coefficient when capturing quadratic associations.</w:t>
      </w:r>
    </w:p>
    <w:p>
      <w:pPr>
        <w:pStyle w:val="BodyText"/>
      </w:pPr>
      <w:r>
        <w:t xml:space="preserve">The</w:t>
      </w:r>
      <w:r>
        <w:t xml:space="preserve"> </w:t>
      </w:r>
      <w:r>
        <w:rPr>
          <w:b/>
          <w:bCs/>
        </w:rPr>
        <w:t xml:space="preserve">Kendall’s tau</w:t>
      </w:r>
      <w:r>
        <w:t xml:space="preserve"> </w:t>
      </w:r>
      <w:r>
        <w:t xml:space="preserve">mirrors the Spearman rank coeffient in terms of the robustness property in capturing linear and exponential relationships. It performs better when attempting to capture quadratic relationships ahead of Pearson and Spearman coefficients.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 812:Non-Parametric Methods</dc:title>
  <dc:creator>Gift Pamba</dc:creator>
  <cp:keywords/>
  <dcterms:created xsi:type="dcterms:W3CDTF">2026-05-08T20:03:50Z</dcterms:created>
  <dcterms:modified xsi:type="dcterms:W3CDTF">2026-05-08T20:03:50Z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MSC/MAT/00098/024</vt:lpwstr>
  </property>
  <property fmtid="{D5CDD505-2E9C-101B-9397-08002B2CF9AE}" pid="3" name="output">
    <vt:lpwstr>word_document</vt:lpwstr>
  </property>
</Properties>
</file>