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ED56E8" w:rsidP="000578C2">
            <w:pPr>
              <w:pStyle w:val="TitleHeader"/>
              <w:rPr>
                <w:i/>
              </w:rPr>
            </w:pPr>
            <w:r>
              <w:lastRenderedPageBreak/>
              <w:t>Gray Pine</w:t>
            </w:r>
          </w:p>
        </w:tc>
      </w:tr>
      <w:tr w:rsidR="00CD49CC">
        <w:tblPrEx>
          <w:tblCellMar>
            <w:top w:w="0" w:type="dxa"/>
            <w:bottom w:w="0" w:type="dxa"/>
          </w:tblCellMar>
        </w:tblPrEx>
        <w:tc>
          <w:tcPr>
            <w:tcW w:w="4410" w:type="dxa"/>
          </w:tcPr>
          <w:p w:rsidR="00CD49CC" w:rsidRPr="00C95C6F" w:rsidRDefault="00ED56E8" w:rsidP="008F6154">
            <w:pPr>
              <w:pStyle w:val="Titlesubheader1"/>
            </w:pPr>
            <w:r>
              <w:rPr>
                <w:i/>
              </w:rPr>
              <w:t>Pinus sabiniana</w:t>
            </w:r>
            <w:r w:rsidR="000F1970" w:rsidRPr="008F3D5A">
              <w:t xml:space="preserve"> </w:t>
            </w:r>
            <w:r>
              <w:t>Dougl. ex Dougl.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ED56E8">
              <w:t>PISA2</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ED56E8">
            <w:t>USDA</w:t>
          </w:r>
        </w:smartTag>
        <w:r w:rsidR="00ED56E8">
          <w:t xml:space="preserve"> </w:t>
        </w:r>
        <w:smartTag w:uri="urn:schemas-microsoft-com:office:smarttags" w:element="PlaceName">
          <w:r w:rsidR="00ED56E8">
            <w:t>NRCS</w:t>
          </w:r>
        </w:smartTag>
        <w:r w:rsidR="00ED56E8">
          <w:t xml:space="preserve"> </w:t>
        </w:r>
        <w:smartTag w:uri="urn:schemas-microsoft-com:office:smarttags" w:element="PlaceName">
          <w:r w:rsidR="00ED56E8">
            <w:t>National</w:t>
          </w:r>
        </w:smartTag>
        <w:r w:rsidR="00ED56E8">
          <w:t xml:space="preserve"> </w:t>
        </w:r>
        <w:smartTag w:uri="urn:schemas-microsoft-com:office:smarttags" w:element="PlaceName">
          <w:r w:rsidR="00ED56E8">
            <w:t>Plant</w:t>
          </w:r>
        </w:smartTag>
        <w:r w:rsidR="00ED56E8">
          <w:t xml:space="preserve"> </w:t>
        </w:r>
        <w:smartTag w:uri="urn:schemas-microsoft-com:office:smarttags" w:element="PlaceName">
          <w:r w:rsidR="00ED56E8">
            <w:t>Data</w:t>
          </w:r>
        </w:smartTag>
        <w:r w:rsidR="00ED56E8">
          <w:t xml:space="preserve"> </w:t>
        </w:r>
        <w:smartTag w:uri="urn:schemas-microsoft-com:office:smarttags" w:element="PlaceType">
          <w:r w:rsidR="00ED56E8">
            <w:t>Center</w:t>
          </w:r>
        </w:smartTag>
      </w:smartTag>
    </w:p>
    <w:p w:rsidR="00D53A51" w:rsidRDefault="00D53A51" w:rsidP="004911C7">
      <w:pPr>
        <w:pStyle w:val="Heading3"/>
        <w:ind w:left="0" w:right="0"/>
        <w:jc w:val="left"/>
        <w:rPr>
          <w:color w:val="auto"/>
        </w:rPr>
      </w:pPr>
    </w:p>
    <w:p w:rsidR="00D1794F" w:rsidRPr="00D1794F" w:rsidRDefault="00D1794F" w:rsidP="00D1794F">
      <w:pPr>
        <w:pStyle w:val="Heading6"/>
        <w:jc w:val="left"/>
        <w:rPr>
          <w:sz w:val="20"/>
        </w:rPr>
      </w:pPr>
      <w:r w:rsidRPr="00D1794F">
        <w:rPr>
          <w:sz w:val="20"/>
        </w:rPr>
        <w:t>Alternative Names</w:t>
      </w:r>
    </w:p>
    <w:p w:rsidR="00D1794F" w:rsidRPr="00D1794F" w:rsidRDefault="00D1794F" w:rsidP="00D1794F">
      <w:pPr>
        <w:jc w:val="left"/>
        <w:rPr>
          <w:sz w:val="20"/>
        </w:rPr>
      </w:pPr>
      <w:r w:rsidRPr="00D1794F">
        <w:rPr>
          <w:sz w:val="20"/>
        </w:rPr>
        <w:t xml:space="preserve">foothill pine, bull pine, digger pine, </w:t>
      </w:r>
      <w:smartTag w:uri="urn:schemas-microsoft-com:office:smarttags" w:element="place">
        <w:smartTag w:uri="urn:schemas-microsoft-com:office:smarttags" w:element="State">
          <w:r w:rsidRPr="00D1794F">
            <w:rPr>
              <w:sz w:val="20"/>
            </w:rPr>
            <w:t>California</w:t>
          </w:r>
        </w:smartTag>
      </w:smartTag>
      <w:r w:rsidRPr="00D1794F">
        <w:rPr>
          <w:sz w:val="20"/>
        </w:rPr>
        <w:t xml:space="preserve"> foothill pine</w:t>
      </w:r>
    </w:p>
    <w:p w:rsidR="00D1794F" w:rsidRPr="00D1794F" w:rsidRDefault="00D1794F" w:rsidP="00D1794F">
      <w:pPr>
        <w:jc w:val="left"/>
        <w:rPr>
          <w:sz w:val="20"/>
        </w:rPr>
      </w:pPr>
    </w:p>
    <w:p w:rsidR="00D1794F" w:rsidRPr="00D1794F" w:rsidRDefault="00D1794F" w:rsidP="00D1794F">
      <w:pPr>
        <w:pStyle w:val="Heading6"/>
        <w:jc w:val="left"/>
        <w:rPr>
          <w:sz w:val="20"/>
        </w:rPr>
      </w:pPr>
      <w:r w:rsidRPr="00D1794F">
        <w:rPr>
          <w:sz w:val="20"/>
        </w:rPr>
        <w:t>Uses</w:t>
      </w:r>
    </w:p>
    <w:p w:rsidR="00D1794F" w:rsidRPr="00D1794F" w:rsidRDefault="00D1794F" w:rsidP="00D1794F">
      <w:pPr>
        <w:jc w:val="left"/>
        <w:rPr>
          <w:sz w:val="20"/>
        </w:rPr>
      </w:pPr>
      <w:r w:rsidRPr="00D1794F">
        <w:rPr>
          <w:i/>
          <w:sz w:val="20"/>
        </w:rPr>
        <w:t>Ethnobotanic</w:t>
      </w:r>
      <w:r w:rsidRPr="00D1794F">
        <w:rPr>
          <w:sz w:val="20"/>
        </w:rPr>
        <w:t xml:space="preserve">:  The seeds of gray pine were eaten by many California Indian tribes and are still served in Native American homes today.  They can be eaten fresh and whole in the raw state, roasted, or pounded into flour and mixed with other types of seeds.  The seeds were eaten by the Pomo, Sierra Miwok, Western Mono, Wappo, Salinan, Southern Maidu, Lassik, Costanoan, and Kato, among others.  Sierra Miwok men climbed the trees and twisted the green cones off by hand before the seeds were fully developed.  These immature cones were roasted for 20 minutes in hot ashes, yielding a brown, sweet </w:t>
      </w:r>
      <w:r w:rsidRPr="00D1794F">
        <w:rPr>
          <w:sz w:val="20"/>
        </w:rPr>
        <w:lastRenderedPageBreak/>
        <w:t>syrup.  The pitch of the gray pine was used as a medicine by the Western Mono and the branches were made into household utensils for stirring acorn mush.  The Costanoan used the pitch as a treatment for rheumatism.  The needles were used for thatch, bedding, and floor covering and the bark for house covering by the Sierra Miwok.  The branches and roots were used in California Indian basketry and still gathered to a limited extent by contemporary weavers.</w:t>
      </w:r>
    </w:p>
    <w:p w:rsidR="00D1794F" w:rsidRPr="00D1794F" w:rsidRDefault="00D1794F" w:rsidP="00D1794F">
      <w:pPr>
        <w:jc w:val="left"/>
        <w:rPr>
          <w:sz w:val="20"/>
        </w:rPr>
      </w:pPr>
      <w:r w:rsidRPr="00D1794F">
        <w:rPr>
          <w:noProof/>
          <w:sz w:val="20"/>
        </w:rPr>
        <w:pict>
          <v:shapetype id="_x0000_t202" coordsize="21600,21600" o:spt="202" path="m,l,21600r21600,l21600,xe">
            <v:stroke joinstyle="miter"/>
            <v:path gradientshapeok="t" o:connecttype="rect"/>
          </v:shapetype>
          <v:shape id="_x0000_s1064" type="#_x0000_t202" style="position:absolute;margin-left:13.05pt;margin-top:-314.7pt;width:180pt;height:279pt;z-index:251657728" stroked="f">
            <v:textbox>
              <w:txbxContent>
                <w:p w:rsidR="00D1794F" w:rsidRDefault="003611AE" w:rsidP="00D1794F">
                  <w:r>
                    <w:rPr>
                      <w:rFonts w:ascii="Verdana" w:hAnsi="Verdana"/>
                      <w:noProof/>
                      <w:color w:val="000099"/>
                      <w:sz w:val="17"/>
                      <w:szCs w:val="17"/>
                    </w:rPr>
                    <w:drawing>
                      <wp:inline distT="0" distB="0" distL="0" distR="0">
                        <wp:extent cx="2095500" cy="3143250"/>
                        <wp:effectExtent l="19050" t="0" r="0" b="0"/>
                        <wp:docPr id="1" name="Picture 1" descr="Photo of Pinus sabiniana Dougl. ex Dougl.">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of Pinus sabiniana Dougl. ex Dougl."/>
                                <pic:cNvPicPr>
                                  <a:picLocks noChangeAspect="1" noChangeArrowheads="1"/>
                                </pic:cNvPicPr>
                              </pic:nvPicPr>
                              <pic:blipFill>
                                <a:blip r:embed="rId9"/>
                                <a:srcRect/>
                                <a:stretch>
                                  <a:fillRect/>
                                </a:stretch>
                              </pic:blipFill>
                              <pic:spPr bwMode="auto">
                                <a:xfrm>
                                  <a:off x="0" y="0"/>
                                  <a:ext cx="2095500" cy="3143250"/>
                                </a:xfrm>
                                <a:prstGeom prst="rect">
                                  <a:avLst/>
                                </a:prstGeom>
                                <a:noFill/>
                                <a:ln w="9525">
                                  <a:noFill/>
                                  <a:miter lim="800000"/>
                                  <a:headEnd/>
                                  <a:tailEnd/>
                                </a:ln>
                              </pic:spPr>
                            </pic:pic>
                          </a:graphicData>
                        </a:graphic>
                      </wp:inline>
                    </w:drawing>
                  </w:r>
                </w:p>
                <w:p w:rsidR="00D1794F" w:rsidRDefault="00D1794F" w:rsidP="00D1794F">
                  <w:pPr>
                    <w:jc w:val="right"/>
                    <w:rPr>
                      <w:sz w:val="14"/>
                    </w:rPr>
                  </w:pPr>
                  <w:r>
                    <w:rPr>
                      <w:sz w:val="14"/>
                    </w:rPr>
                    <w:t>J. S. Peteson</w:t>
                  </w:r>
                </w:p>
                <w:p w:rsidR="00D1794F" w:rsidRDefault="00D1794F" w:rsidP="00D1794F">
                  <w:pPr>
                    <w:jc w:val="right"/>
                    <w:rPr>
                      <w:sz w:val="14"/>
                    </w:rPr>
                  </w:pPr>
                  <w:r>
                    <w:rPr>
                      <w:sz w:val="14"/>
                    </w:rPr>
                    <w:t>USDA NRCS NPDC</w:t>
                  </w:r>
                </w:p>
                <w:p w:rsidR="00D1794F" w:rsidRDefault="00D1794F" w:rsidP="00D1794F">
                  <w:pPr>
                    <w:jc w:val="right"/>
                    <w:rPr>
                      <w:sz w:val="14"/>
                    </w:rPr>
                  </w:pPr>
                  <w:r>
                    <w:rPr>
                      <w:sz w:val="14"/>
                    </w:rPr>
                    <w:t>@ PLANTS</w:t>
                  </w:r>
                </w:p>
              </w:txbxContent>
            </v:textbox>
            <w10:wrap type="topAndBottom" side="left"/>
          </v:shape>
        </w:pict>
      </w:r>
    </w:p>
    <w:p w:rsidR="00D1794F" w:rsidRPr="00D1794F" w:rsidRDefault="00D1794F" w:rsidP="00D1794F">
      <w:pPr>
        <w:jc w:val="left"/>
        <w:rPr>
          <w:sz w:val="20"/>
        </w:rPr>
      </w:pPr>
      <w:r w:rsidRPr="00D1794F">
        <w:rPr>
          <w:i/>
          <w:sz w:val="20"/>
        </w:rPr>
        <w:t>Wildlife</w:t>
      </w:r>
      <w:r w:rsidRPr="00D1794F">
        <w:rPr>
          <w:sz w:val="20"/>
          <w:u w:val="single"/>
        </w:rPr>
        <w:t>:</w:t>
      </w:r>
      <w:r w:rsidRPr="00D1794F">
        <w:rPr>
          <w:sz w:val="20"/>
        </w:rPr>
        <w:t xml:space="preserve">  Numerous birds feed on the seeds of gray pine including the red-shafted flicker, </w:t>
      </w:r>
      <w:smartTag w:uri="urn:schemas-microsoft-com:office:smarttags" w:element="State">
        <w:smartTag w:uri="urn:schemas-microsoft-com:office:smarttags" w:element="place">
          <w:r w:rsidRPr="00D1794F">
            <w:rPr>
              <w:sz w:val="20"/>
            </w:rPr>
            <w:t>California</w:t>
          </w:r>
        </w:smartTag>
      </w:smartTag>
      <w:r w:rsidRPr="00D1794F">
        <w:rPr>
          <w:sz w:val="20"/>
        </w:rPr>
        <w:t xml:space="preserve"> jay, and band-tailed pigeon.  The foliage, bark, and seeds provide food for black bears, </w:t>
      </w:r>
      <w:smartTag w:uri="urn:schemas-microsoft-com:office:smarttags" w:element="place">
        <w:r w:rsidRPr="00D1794F">
          <w:rPr>
            <w:sz w:val="20"/>
          </w:rPr>
          <w:t>Douglas</w:t>
        </w:r>
      </w:smartTag>
      <w:r w:rsidRPr="00D1794F">
        <w:rPr>
          <w:sz w:val="20"/>
        </w:rPr>
        <w:t xml:space="preserve"> chickarees, and </w:t>
      </w:r>
    </w:p>
    <w:p w:rsidR="00D1794F" w:rsidRPr="00D1794F" w:rsidRDefault="00D1794F" w:rsidP="00D1794F">
      <w:pPr>
        <w:jc w:val="left"/>
        <w:rPr>
          <w:sz w:val="20"/>
        </w:rPr>
      </w:pPr>
      <w:r w:rsidRPr="00D1794F">
        <w:rPr>
          <w:sz w:val="20"/>
        </w:rPr>
        <w:t>gray squirrels.  Mule and white-tailed deer browse the foliage and twigs.</w:t>
      </w:r>
    </w:p>
    <w:p w:rsidR="00D1794F" w:rsidRPr="00D1794F" w:rsidRDefault="00D1794F" w:rsidP="00D1794F">
      <w:pPr>
        <w:jc w:val="left"/>
        <w:rPr>
          <w:sz w:val="20"/>
        </w:rPr>
      </w:pPr>
    </w:p>
    <w:p w:rsidR="00D1794F" w:rsidRPr="00D1794F" w:rsidRDefault="00D1794F" w:rsidP="00D1794F">
      <w:pPr>
        <w:pStyle w:val="Heading6"/>
        <w:jc w:val="left"/>
        <w:rPr>
          <w:sz w:val="20"/>
        </w:rPr>
      </w:pPr>
      <w:r w:rsidRPr="00D1794F">
        <w:rPr>
          <w:sz w:val="20"/>
        </w:rPr>
        <w:t>Status</w:t>
      </w:r>
    </w:p>
    <w:p w:rsidR="00D1794F" w:rsidRPr="00D1794F" w:rsidRDefault="00D1794F" w:rsidP="00D1794F">
      <w:pPr>
        <w:jc w:val="left"/>
        <w:rPr>
          <w:sz w:val="20"/>
        </w:rPr>
      </w:pPr>
      <w:r w:rsidRPr="00D1794F">
        <w:rPr>
          <w:sz w:val="20"/>
        </w:rPr>
        <w:t xml:space="preserve">Please consult the PLANTS Web site and your State Department of Natural Resources for this plant’s current status, such as, state noxious status, and wetland indicator values.  </w:t>
      </w:r>
    </w:p>
    <w:p w:rsidR="00D1794F" w:rsidRPr="00D1794F" w:rsidRDefault="00D1794F" w:rsidP="00D1794F">
      <w:pPr>
        <w:jc w:val="left"/>
        <w:rPr>
          <w:sz w:val="20"/>
        </w:rPr>
      </w:pPr>
    </w:p>
    <w:p w:rsidR="00D1794F" w:rsidRPr="00D1794F" w:rsidRDefault="00D1794F" w:rsidP="00D1794F">
      <w:pPr>
        <w:pStyle w:val="Heading6"/>
        <w:jc w:val="left"/>
        <w:rPr>
          <w:sz w:val="20"/>
        </w:rPr>
      </w:pPr>
      <w:r w:rsidRPr="00D1794F">
        <w:rPr>
          <w:sz w:val="20"/>
        </w:rPr>
        <w:t>Description</w:t>
      </w:r>
    </w:p>
    <w:p w:rsidR="00D1794F" w:rsidRPr="00D1794F" w:rsidRDefault="00D1794F" w:rsidP="00D1794F">
      <w:pPr>
        <w:jc w:val="left"/>
        <w:rPr>
          <w:sz w:val="20"/>
        </w:rPr>
      </w:pPr>
      <w:r w:rsidRPr="00D1794F">
        <w:rPr>
          <w:i/>
          <w:sz w:val="20"/>
        </w:rPr>
        <w:t>General</w:t>
      </w:r>
      <w:r w:rsidRPr="00D1794F">
        <w:rPr>
          <w:sz w:val="20"/>
        </w:rPr>
        <w:t>: Pine Family (Pinaceae).  This native tree reaches 38 m in height with a trunk less than 2 m wide.  The gray-green foliage is sparse and it has three needles per bundle.  Each needle reaches 9-38 cm in length.  The trunk often grows in a crooked fashion and is deeply grooved when mature.  The seed cone of gray pine is pendent, 10-28 cm, and opens slowly during the second season, dispersing winged seeds.</w:t>
      </w:r>
    </w:p>
    <w:p w:rsidR="00D1794F" w:rsidRPr="00D1794F" w:rsidRDefault="00D1794F" w:rsidP="00D1794F">
      <w:pPr>
        <w:jc w:val="left"/>
        <w:rPr>
          <w:sz w:val="20"/>
        </w:rPr>
      </w:pPr>
    </w:p>
    <w:p w:rsidR="00D1794F" w:rsidRPr="00D1794F" w:rsidRDefault="00D1794F" w:rsidP="00D1794F">
      <w:pPr>
        <w:pStyle w:val="Heading6"/>
        <w:jc w:val="left"/>
        <w:rPr>
          <w:sz w:val="20"/>
        </w:rPr>
      </w:pPr>
      <w:r w:rsidRPr="00D1794F">
        <w:rPr>
          <w:sz w:val="20"/>
        </w:rPr>
        <w:t>Distribution</w:t>
      </w:r>
    </w:p>
    <w:p w:rsidR="00D1794F" w:rsidRPr="00D1794F" w:rsidRDefault="00D1794F" w:rsidP="00D1794F">
      <w:pPr>
        <w:jc w:val="left"/>
        <w:rPr>
          <w:sz w:val="20"/>
        </w:rPr>
      </w:pPr>
      <w:r w:rsidRPr="00D1794F">
        <w:rPr>
          <w:sz w:val="20"/>
        </w:rPr>
        <w:t xml:space="preserve">It ranges in parts of the </w:t>
      </w:r>
      <w:smartTag w:uri="urn:schemas-microsoft-com:office:smarttags" w:element="PlaceName">
        <w:r w:rsidRPr="00D1794F">
          <w:rPr>
            <w:sz w:val="20"/>
          </w:rPr>
          <w:t>California</w:t>
        </w:r>
      </w:smartTag>
      <w:r w:rsidRPr="00D1794F">
        <w:rPr>
          <w:sz w:val="20"/>
        </w:rPr>
        <w:t xml:space="preserve"> </w:t>
      </w:r>
      <w:smartTag w:uri="urn:schemas-microsoft-com:office:smarttags" w:element="PlaceName">
        <w:r w:rsidRPr="00D1794F">
          <w:rPr>
            <w:sz w:val="20"/>
          </w:rPr>
          <w:t>Floristic</w:t>
        </w:r>
      </w:smartTag>
      <w:r w:rsidRPr="00D1794F">
        <w:rPr>
          <w:sz w:val="20"/>
        </w:rPr>
        <w:t xml:space="preserve"> </w:t>
      </w:r>
      <w:smartTag w:uri="urn:schemas-microsoft-com:office:smarttags" w:element="PlaceType">
        <w:r w:rsidRPr="00D1794F">
          <w:rPr>
            <w:sz w:val="20"/>
          </w:rPr>
          <w:t>Province</w:t>
        </w:r>
      </w:smartTag>
      <w:r w:rsidRPr="00D1794F">
        <w:rPr>
          <w:sz w:val="20"/>
        </w:rPr>
        <w:t xml:space="preserve">, the western </w:t>
      </w:r>
      <w:smartTag w:uri="urn:schemas-microsoft-com:office:smarttags" w:element="place">
        <w:r w:rsidRPr="00D1794F">
          <w:rPr>
            <w:sz w:val="20"/>
          </w:rPr>
          <w:t>Great Basin</w:t>
        </w:r>
      </w:smartTag>
      <w:r w:rsidRPr="00D1794F">
        <w:rPr>
          <w:sz w:val="20"/>
        </w:rPr>
        <w:t xml:space="preserve"> and western deserts. For current distribution, please consult the Plant Profile page for this species on the PLANTS Web site.</w:t>
      </w:r>
    </w:p>
    <w:p w:rsidR="00D1794F" w:rsidRPr="00D1794F" w:rsidRDefault="00D1794F" w:rsidP="00D1794F">
      <w:pPr>
        <w:jc w:val="left"/>
        <w:rPr>
          <w:sz w:val="20"/>
        </w:rPr>
      </w:pPr>
    </w:p>
    <w:p w:rsidR="00D1794F" w:rsidRPr="00D1794F" w:rsidRDefault="00D1794F" w:rsidP="00D1794F">
      <w:pPr>
        <w:jc w:val="left"/>
        <w:rPr>
          <w:sz w:val="20"/>
        </w:rPr>
      </w:pPr>
      <w:r w:rsidRPr="00D1794F">
        <w:rPr>
          <w:rStyle w:val="BodyTextChar"/>
          <w:color w:val="auto"/>
          <w:sz w:val="20"/>
        </w:rPr>
        <w:t>Establishment</w:t>
      </w:r>
      <w:r w:rsidRPr="00D1794F">
        <w:rPr>
          <w:b/>
          <w:sz w:val="20"/>
        </w:rPr>
        <w:cr/>
      </w:r>
      <w:r w:rsidRPr="00D1794F">
        <w:rPr>
          <w:i/>
          <w:sz w:val="20"/>
        </w:rPr>
        <w:t>Adaptation</w:t>
      </w:r>
      <w:r w:rsidRPr="00D1794F">
        <w:rPr>
          <w:sz w:val="20"/>
        </w:rPr>
        <w:t>: This tree is found in the foothill woodland, northern oak woodland, chaparral, mixed conifer forests and hardwood forests from 150-1500m.</w:t>
      </w:r>
    </w:p>
    <w:p w:rsidR="00D1794F" w:rsidRPr="00D1794F" w:rsidRDefault="00D1794F" w:rsidP="00D1794F">
      <w:pPr>
        <w:jc w:val="left"/>
        <w:rPr>
          <w:b/>
          <w:sz w:val="20"/>
        </w:rPr>
      </w:pPr>
    </w:p>
    <w:p w:rsidR="00D1794F" w:rsidRPr="00D1794F" w:rsidRDefault="00D1794F" w:rsidP="00D1794F">
      <w:pPr>
        <w:jc w:val="left"/>
        <w:rPr>
          <w:sz w:val="20"/>
        </w:rPr>
      </w:pPr>
      <w:r w:rsidRPr="00D1794F">
        <w:rPr>
          <w:sz w:val="20"/>
        </w:rPr>
        <w:t xml:space="preserve">Extract seeds from the cones and gently rub the wings off, and soak them in water for 48 hours, drain them, and thoroughly surface-dry.  Put seeds in a plastic bag, without any medium, seal the bag and place them in refrigerated conditions until their </w:t>
      </w:r>
      <w:r w:rsidRPr="00D1794F">
        <w:rPr>
          <w:sz w:val="20"/>
        </w:rPr>
        <w:lastRenderedPageBreak/>
        <w:t>chilling treatment begins.  Allow three times the air space as seed space in the bag.  It is best to sow the seeds in May and therefore, expose the seeds to a chilling treatment of at least sixteen weeks prior to sowing.  After cold stratification, plant the seeds in a well-drained coarse potting mix in leach tubes that are narrow but deep with two seeds per tube.  These containers should allow roots to reach the air and stop growing and be at least 6 inches deep.  Fertilize the containers with a starter formulation of fertilizer with low or zero nitrogen.  These containers can be kept in a greenhouse for the first 4 to 6 weeks, receiving 70-degree temperatures during the day.  Keep the surface of the soil moist during the germination phase.  Next after the first set of cotyledons, water the plants with a deep, thorough soaking and let the plants dry in between watering.  Thin the plants down to one per container and move the pots into a shade-house with 30 percent shade after 4 to 6 weeks.  Protect the plants from wind and wildlife.  During the main summer growing season use a balanced fertilizer applied to each container.  At the end of the growing season use a finisher formulation of fertilizer.  Plant the plants in the ground outside in the late winter or early spring in moist soil.  Conduct supplemental hand watering or irrigation if the rains are insufficient.  Clear weeds in a 3 feet by 3 feet area around the plants to encourage better survival and growth rate.  Make sure a protective barrier is placed around the conifers such as vexar tubing to shield them from jack rabbits, deer and other wildlife that may feed on the leaves, stems, and roots.</w:t>
      </w:r>
    </w:p>
    <w:p w:rsidR="00D1794F" w:rsidRPr="00D1794F" w:rsidRDefault="00D1794F" w:rsidP="00D1794F">
      <w:pPr>
        <w:jc w:val="left"/>
        <w:rPr>
          <w:sz w:val="20"/>
        </w:rPr>
      </w:pPr>
    </w:p>
    <w:p w:rsidR="00D1794F" w:rsidRPr="00D1794F" w:rsidRDefault="00D1794F" w:rsidP="00D1794F">
      <w:pPr>
        <w:pStyle w:val="Heading6"/>
        <w:jc w:val="left"/>
        <w:rPr>
          <w:sz w:val="20"/>
        </w:rPr>
      </w:pPr>
      <w:r w:rsidRPr="00D1794F">
        <w:rPr>
          <w:sz w:val="20"/>
        </w:rPr>
        <w:t>Management</w:t>
      </w:r>
    </w:p>
    <w:p w:rsidR="00D1794F" w:rsidRPr="00D1794F" w:rsidRDefault="00D1794F" w:rsidP="00D1794F">
      <w:pPr>
        <w:jc w:val="left"/>
        <w:rPr>
          <w:sz w:val="20"/>
        </w:rPr>
      </w:pPr>
      <w:r w:rsidRPr="00D1794F">
        <w:rPr>
          <w:sz w:val="20"/>
        </w:rPr>
        <w:t>The Pomo pruned the trees periodically.</w:t>
      </w:r>
    </w:p>
    <w:p w:rsidR="00D1794F" w:rsidRPr="00D1794F" w:rsidRDefault="00D1794F" w:rsidP="00D1794F">
      <w:pPr>
        <w:jc w:val="left"/>
        <w:rPr>
          <w:sz w:val="20"/>
        </w:rPr>
      </w:pPr>
    </w:p>
    <w:p w:rsidR="00D1794F" w:rsidRPr="00D1794F" w:rsidRDefault="00D1794F" w:rsidP="00D1794F">
      <w:pPr>
        <w:pStyle w:val="Heading6"/>
        <w:jc w:val="left"/>
        <w:rPr>
          <w:sz w:val="20"/>
        </w:rPr>
      </w:pPr>
      <w:r w:rsidRPr="00D1794F">
        <w:rPr>
          <w:sz w:val="20"/>
        </w:rPr>
        <w:t>Cultivars, Improved and Selected Materials (and area of origin)</w:t>
      </w:r>
    </w:p>
    <w:p w:rsidR="00D1794F" w:rsidRPr="00D1794F" w:rsidRDefault="00D1794F" w:rsidP="00D1794F">
      <w:pPr>
        <w:jc w:val="left"/>
        <w:rPr>
          <w:sz w:val="20"/>
        </w:rPr>
      </w:pPr>
      <w:r w:rsidRPr="00D1794F">
        <w:rPr>
          <w:sz w:val="20"/>
        </w:rPr>
        <w:t>This species is available from most nurseries within its range that handle native plants.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D1794F" w:rsidRPr="00D1794F" w:rsidRDefault="00D1794F" w:rsidP="00D1794F">
      <w:pPr>
        <w:jc w:val="left"/>
        <w:rPr>
          <w:sz w:val="20"/>
        </w:rPr>
      </w:pPr>
    </w:p>
    <w:p w:rsidR="00D1794F" w:rsidRPr="00D1794F" w:rsidRDefault="00D1794F" w:rsidP="00D1794F">
      <w:pPr>
        <w:pStyle w:val="Heading6"/>
        <w:jc w:val="left"/>
        <w:rPr>
          <w:sz w:val="20"/>
        </w:rPr>
      </w:pPr>
      <w:r w:rsidRPr="00D1794F">
        <w:rPr>
          <w:sz w:val="20"/>
        </w:rPr>
        <w:t>References</w:t>
      </w:r>
    </w:p>
    <w:p w:rsidR="00D1794F" w:rsidRPr="00D1794F" w:rsidRDefault="00D1794F" w:rsidP="00D1794F">
      <w:pPr>
        <w:jc w:val="left"/>
        <w:rPr>
          <w:sz w:val="20"/>
        </w:rPr>
      </w:pPr>
      <w:smartTag w:uri="urn:schemas-microsoft-com:office:smarttags" w:element="place">
        <w:smartTag w:uri="urn:schemas-microsoft-com:office:smarttags" w:element="City">
          <w:r w:rsidRPr="00D1794F">
            <w:rPr>
              <w:sz w:val="20"/>
            </w:rPr>
            <w:t>Barrett</w:t>
          </w:r>
        </w:smartTag>
        <w:r w:rsidRPr="00D1794F">
          <w:rPr>
            <w:sz w:val="20"/>
          </w:rPr>
          <w:t xml:space="preserve">, </w:t>
        </w:r>
        <w:smartTag w:uri="urn:schemas-microsoft-com:office:smarttags" w:element="country-region">
          <w:r w:rsidRPr="00D1794F">
            <w:rPr>
              <w:sz w:val="20"/>
            </w:rPr>
            <w:t>S.A.</w:t>
          </w:r>
        </w:smartTag>
      </w:smartTag>
      <w:r w:rsidRPr="00D1794F">
        <w:rPr>
          <w:sz w:val="20"/>
        </w:rPr>
        <w:t xml:space="preserve"> &amp; E.W. Gifford 1933.  </w:t>
      </w:r>
      <w:r w:rsidRPr="00D1794F">
        <w:rPr>
          <w:i/>
          <w:sz w:val="20"/>
        </w:rPr>
        <w:t>Miwok material culture</w:t>
      </w:r>
      <w:r w:rsidRPr="00D1794F">
        <w:rPr>
          <w:sz w:val="20"/>
        </w:rPr>
        <w:t xml:space="preserve">.  Bulletin of the </w:t>
      </w:r>
      <w:smartTag w:uri="urn:schemas-microsoft-com:office:smarttags" w:element="PlaceName">
        <w:r w:rsidRPr="00D1794F">
          <w:rPr>
            <w:sz w:val="20"/>
          </w:rPr>
          <w:t>Public</w:t>
        </w:r>
      </w:smartTag>
      <w:r w:rsidRPr="00D1794F">
        <w:rPr>
          <w:sz w:val="20"/>
        </w:rPr>
        <w:t xml:space="preserve"> </w:t>
      </w:r>
      <w:smartTag w:uri="urn:schemas-microsoft-com:office:smarttags" w:element="PlaceType">
        <w:r w:rsidRPr="00D1794F">
          <w:rPr>
            <w:sz w:val="20"/>
          </w:rPr>
          <w:t>Museum</w:t>
        </w:r>
      </w:smartTag>
      <w:r w:rsidRPr="00D1794F">
        <w:rPr>
          <w:sz w:val="20"/>
        </w:rPr>
        <w:t xml:space="preserve"> of the City of </w:t>
      </w:r>
      <w:smartTag w:uri="urn:schemas-microsoft-com:office:smarttags" w:element="City">
        <w:smartTag w:uri="urn:schemas-microsoft-com:office:smarttags" w:element="place">
          <w:r w:rsidRPr="00D1794F">
            <w:rPr>
              <w:sz w:val="20"/>
            </w:rPr>
            <w:t>Milwaukee</w:t>
          </w:r>
        </w:smartTag>
      </w:smartTag>
      <w:r w:rsidRPr="00D1794F">
        <w:rPr>
          <w:sz w:val="20"/>
        </w:rPr>
        <w:t xml:space="preserve"> 2(4):117-376.</w:t>
      </w:r>
    </w:p>
    <w:p w:rsidR="00D1794F" w:rsidRPr="00D1794F" w:rsidRDefault="00D1794F" w:rsidP="00D1794F">
      <w:pPr>
        <w:jc w:val="left"/>
        <w:rPr>
          <w:sz w:val="20"/>
        </w:rPr>
      </w:pPr>
    </w:p>
    <w:p w:rsidR="00D1794F" w:rsidRPr="00D1794F" w:rsidRDefault="00D1794F" w:rsidP="00D1794F">
      <w:pPr>
        <w:jc w:val="left"/>
        <w:rPr>
          <w:sz w:val="20"/>
        </w:rPr>
      </w:pPr>
      <w:r w:rsidRPr="00D1794F">
        <w:rPr>
          <w:sz w:val="20"/>
        </w:rPr>
        <w:t xml:space="preserve">Beard, Y.S. 1979.  </w:t>
      </w:r>
      <w:r w:rsidRPr="00D1794F">
        <w:rPr>
          <w:i/>
          <w:sz w:val="20"/>
        </w:rPr>
        <w:t>The Wappo A Report</w:t>
      </w:r>
      <w:r w:rsidRPr="00D1794F">
        <w:rPr>
          <w:sz w:val="20"/>
        </w:rPr>
        <w:t xml:space="preserve">.  </w:t>
      </w:r>
      <w:smartTag w:uri="urn:schemas-microsoft-com:office:smarttags" w:element="place">
        <w:smartTag w:uri="urn:schemas-microsoft-com:office:smarttags" w:element="PlaceName">
          <w:r w:rsidRPr="00D1794F">
            <w:rPr>
              <w:sz w:val="20"/>
            </w:rPr>
            <w:t>Malki</w:t>
          </w:r>
        </w:smartTag>
        <w:r w:rsidRPr="00D1794F">
          <w:rPr>
            <w:sz w:val="20"/>
          </w:rPr>
          <w:t xml:space="preserve"> </w:t>
        </w:r>
        <w:smartTag w:uri="urn:schemas-microsoft-com:office:smarttags" w:element="PlaceType">
          <w:r w:rsidRPr="00D1794F">
            <w:rPr>
              <w:sz w:val="20"/>
            </w:rPr>
            <w:t>Museum</w:t>
          </w:r>
        </w:smartTag>
      </w:smartTag>
      <w:r w:rsidRPr="00D1794F">
        <w:rPr>
          <w:sz w:val="20"/>
        </w:rPr>
        <w:t xml:space="preserve"> Press.  Morongo Indian Reservation, Banning, </w:t>
      </w:r>
      <w:smartTag w:uri="urn:schemas-microsoft-com:office:smarttags" w:element="place">
        <w:smartTag w:uri="urn:schemas-microsoft-com:office:smarttags" w:element="State">
          <w:r w:rsidRPr="00D1794F">
            <w:rPr>
              <w:sz w:val="20"/>
            </w:rPr>
            <w:t>California</w:t>
          </w:r>
        </w:smartTag>
      </w:smartTag>
      <w:r w:rsidRPr="00D1794F">
        <w:rPr>
          <w:sz w:val="20"/>
        </w:rPr>
        <w:t>.</w:t>
      </w:r>
    </w:p>
    <w:p w:rsidR="00D1794F" w:rsidRPr="00D1794F" w:rsidRDefault="00D1794F" w:rsidP="00D1794F">
      <w:pPr>
        <w:jc w:val="left"/>
        <w:rPr>
          <w:sz w:val="20"/>
        </w:rPr>
      </w:pPr>
    </w:p>
    <w:p w:rsidR="00D1794F" w:rsidRPr="00D1794F" w:rsidRDefault="00D1794F" w:rsidP="00D1794F">
      <w:pPr>
        <w:jc w:val="left"/>
        <w:rPr>
          <w:sz w:val="20"/>
        </w:rPr>
      </w:pPr>
      <w:r w:rsidRPr="00D1794F">
        <w:rPr>
          <w:sz w:val="20"/>
        </w:rPr>
        <w:lastRenderedPageBreak/>
        <w:t xml:space="preserve">Bocek, B.R. 1984.  </w:t>
      </w:r>
      <w:r w:rsidRPr="00D1794F">
        <w:rPr>
          <w:i/>
          <w:sz w:val="20"/>
        </w:rPr>
        <w:t xml:space="preserve">Ethnobotany of Costanoan Indians, </w:t>
      </w:r>
      <w:smartTag w:uri="urn:schemas-microsoft-com:office:smarttags" w:element="State">
        <w:smartTag w:uri="urn:schemas-microsoft-com:office:smarttags" w:element="place">
          <w:r w:rsidRPr="00D1794F">
            <w:rPr>
              <w:i/>
              <w:sz w:val="20"/>
            </w:rPr>
            <w:t>California</w:t>
          </w:r>
        </w:smartTag>
      </w:smartTag>
      <w:r w:rsidRPr="00D1794F">
        <w:rPr>
          <w:i/>
          <w:sz w:val="20"/>
        </w:rPr>
        <w:t>, based on collections by John P. Harrington.</w:t>
      </w:r>
      <w:r w:rsidRPr="00D1794F">
        <w:rPr>
          <w:sz w:val="20"/>
        </w:rPr>
        <w:t xml:space="preserve">  Economic Botany 38(2):240-255.</w:t>
      </w:r>
    </w:p>
    <w:p w:rsidR="00D1794F" w:rsidRPr="00D1794F" w:rsidRDefault="00D1794F" w:rsidP="00D1794F">
      <w:pPr>
        <w:jc w:val="left"/>
        <w:rPr>
          <w:sz w:val="20"/>
        </w:rPr>
      </w:pPr>
    </w:p>
    <w:p w:rsidR="00D1794F" w:rsidRPr="00D1794F" w:rsidRDefault="00D1794F" w:rsidP="00D1794F">
      <w:pPr>
        <w:jc w:val="left"/>
        <w:rPr>
          <w:sz w:val="20"/>
        </w:rPr>
      </w:pPr>
      <w:r w:rsidRPr="00D1794F">
        <w:rPr>
          <w:sz w:val="20"/>
        </w:rPr>
        <w:t xml:space="preserve">CalPhotos 2000.  </w:t>
      </w:r>
      <w:r w:rsidRPr="00D1794F">
        <w:rPr>
          <w:i/>
          <w:sz w:val="20"/>
        </w:rPr>
        <w:t>Pinus sabiniana</w:t>
      </w:r>
      <w:r w:rsidRPr="00D1794F">
        <w:rPr>
          <w:sz w:val="20"/>
        </w:rPr>
        <w:t xml:space="preserve">.  &lt;http://elib.cs.berkeley.edu/cgi/img_query?seq_num=16975&amp;one=T&gt;.  Version: 000229.  CalFlora, Inc., </w:t>
      </w:r>
      <w:smartTag w:uri="urn:schemas-microsoft-com:office:smarttags" w:element="place">
        <w:smartTag w:uri="urn:schemas-microsoft-com:office:smarttags" w:element="City">
          <w:r w:rsidRPr="00D1794F">
            <w:rPr>
              <w:sz w:val="20"/>
            </w:rPr>
            <w:t>Berkeley</w:t>
          </w:r>
        </w:smartTag>
        <w:r w:rsidRPr="00D1794F">
          <w:rPr>
            <w:sz w:val="20"/>
          </w:rPr>
          <w:t xml:space="preserve">, </w:t>
        </w:r>
        <w:smartTag w:uri="urn:schemas-microsoft-com:office:smarttags" w:element="State">
          <w:r w:rsidRPr="00D1794F">
            <w:rPr>
              <w:sz w:val="20"/>
            </w:rPr>
            <w:t>California</w:t>
          </w:r>
        </w:smartTag>
      </w:smartTag>
      <w:r w:rsidRPr="00D1794F">
        <w:rPr>
          <w:sz w:val="20"/>
        </w:rPr>
        <w:t>.</w:t>
      </w:r>
    </w:p>
    <w:p w:rsidR="00D1794F" w:rsidRPr="00D1794F" w:rsidRDefault="00D1794F" w:rsidP="00D1794F">
      <w:pPr>
        <w:jc w:val="left"/>
        <w:rPr>
          <w:sz w:val="20"/>
        </w:rPr>
      </w:pPr>
    </w:p>
    <w:p w:rsidR="00D1794F" w:rsidRPr="00D1794F" w:rsidRDefault="00D1794F" w:rsidP="00D1794F">
      <w:pPr>
        <w:jc w:val="left"/>
        <w:rPr>
          <w:sz w:val="20"/>
        </w:rPr>
      </w:pPr>
      <w:r w:rsidRPr="00D1794F">
        <w:rPr>
          <w:sz w:val="20"/>
        </w:rPr>
        <w:t xml:space="preserve">Essene, F.  1942.  </w:t>
      </w:r>
      <w:r w:rsidRPr="00D1794F">
        <w:rPr>
          <w:i/>
          <w:sz w:val="20"/>
        </w:rPr>
        <w:t>Culture element distributions</w:t>
      </w:r>
      <w:r w:rsidRPr="00D1794F">
        <w:rPr>
          <w:sz w:val="20"/>
        </w:rPr>
        <w:t xml:space="preserve">: </w:t>
      </w:r>
      <w:smartTag w:uri="urn:schemas-microsoft-com:office:smarttags" w:element="place">
        <w:smartTag w:uri="urn:schemas-microsoft-com:office:smarttags" w:element="PlaceName">
          <w:r w:rsidRPr="00D1794F">
            <w:rPr>
              <w:sz w:val="20"/>
            </w:rPr>
            <w:t>XXI</w:t>
          </w:r>
        </w:smartTag>
        <w:r w:rsidRPr="00D1794F">
          <w:rPr>
            <w:sz w:val="20"/>
          </w:rPr>
          <w:t xml:space="preserve"> </w:t>
        </w:r>
        <w:smartTag w:uri="urn:schemas-microsoft-com:office:smarttags" w:element="PlaceName">
          <w:r w:rsidRPr="00D1794F">
            <w:rPr>
              <w:sz w:val="20"/>
            </w:rPr>
            <w:t>Round</w:t>
          </w:r>
        </w:smartTag>
        <w:r w:rsidRPr="00D1794F">
          <w:rPr>
            <w:sz w:val="20"/>
          </w:rPr>
          <w:t xml:space="preserve"> </w:t>
        </w:r>
        <w:smartTag w:uri="urn:schemas-microsoft-com:office:smarttags" w:element="PlaceType">
          <w:r w:rsidRPr="00D1794F">
            <w:rPr>
              <w:sz w:val="20"/>
            </w:rPr>
            <w:t>Valley</w:t>
          </w:r>
        </w:smartTag>
      </w:smartTag>
      <w:r w:rsidRPr="00D1794F">
        <w:rPr>
          <w:sz w:val="20"/>
        </w:rPr>
        <w:t>.  Anthropological Records 8(1):1-97.</w:t>
      </w:r>
    </w:p>
    <w:p w:rsidR="00D1794F" w:rsidRPr="00D1794F" w:rsidRDefault="00D1794F" w:rsidP="00D1794F">
      <w:pPr>
        <w:jc w:val="left"/>
        <w:rPr>
          <w:sz w:val="20"/>
        </w:rPr>
      </w:pPr>
    </w:p>
    <w:p w:rsidR="00D1794F" w:rsidRPr="00D1794F" w:rsidRDefault="00D1794F" w:rsidP="00D1794F">
      <w:pPr>
        <w:jc w:val="left"/>
        <w:rPr>
          <w:sz w:val="20"/>
        </w:rPr>
      </w:pPr>
      <w:r w:rsidRPr="00D1794F">
        <w:rPr>
          <w:sz w:val="20"/>
        </w:rPr>
        <w:t xml:space="preserve">Goode, R.W. 1992.  </w:t>
      </w:r>
      <w:r w:rsidRPr="00D1794F">
        <w:rPr>
          <w:i/>
          <w:sz w:val="20"/>
        </w:rPr>
        <w:t>Cultural traditions endangered</w:t>
      </w:r>
      <w:r w:rsidRPr="00D1794F">
        <w:rPr>
          <w:sz w:val="20"/>
        </w:rPr>
        <w:t>.  Unpublished report.</w:t>
      </w:r>
    </w:p>
    <w:p w:rsidR="00D1794F" w:rsidRPr="00D1794F" w:rsidRDefault="00D1794F" w:rsidP="00D1794F">
      <w:pPr>
        <w:jc w:val="left"/>
        <w:rPr>
          <w:sz w:val="20"/>
        </w:rPr>
      </w:pPr>
    </w:p>
    <w:p w:rsidR="00D1794F" w:rsidRPr="00D1794F" w:rsidRDefault="00D1794F" w:rsidP="00D1794F">
      <w:pPr>
        <w:jc w:val="left"/>
        <w:rPr>
          <w:sz w:val="20"/>
        </w:rPr>
      </w:pPr>
      <w:r w:rsidRPr="00D1794F">
        <w:rPr>
          <w:sz w:val="20"/>
        </w:rPr>
        <w:t xml:space="preserve">Goodrich, J., C. Lawson, &amp; V. P. Lawson  </w:t>
      </w:r>
      <w:r w:rsidRPr="00D1794F">
        <w:rPr>
          <w:i/>
          <w:sz w:val="20"/>
        </w:rPr>
        <w:t>Kashaya Pomo plants</w:t>
      </w:r>
      <w:r w:rsidRPr="00D1794F">
        <w:rPr>
          <w:sz w:val="20"/>
        </w:rPr>
        <w:t xml:space="preserve">.  </w:t>
      </w:r>
      <w:smartTag w:uri="urn:schemas-microsoft-com:office:smarttags" w:element="place">
        <w:smartTag w:uri="urn:schemas-microsoft-com:office:smarttags" w:element="PlaceName">
          <w:r w:rsidRPr="00D1794F">
            <w:rPr>
              <w:sz w:val="20"/>
            </w:rPr>
            <w:t>American</w:t>
          </w:r>
        </w:smartTag>
        <w:r w:rsidRPr="00D1794F">
          <w:rPr>
            <w:sz w:val="20"/>
          </w:rPr>
          <w:t xml:space="preserve"> </w:t>
        </w:r>
        <w:smartTag w:uri="urn:schemas-microsoft-com:office:smarttags" w:element="PlaceName">
          <w:r w:rsidRPr="00D1794F">
            <w:rPr>
              <w:sz w:val="20"/>
            </w:rPr>
            <w:t>Indian</w:t>
          </w:r>
        </w:smartTag>
        <w:r w:rsidRPr="00D1794F">
          <w:rPr>
            <w:sz w:val="20"/>
          </w:rPr>
          <w:t xml:space="preserve"> </w:t>
        </w:r>
        <w:smartTag w:uri="urn:schemas-microsoft-com:office:smarttags" w:element="PlaceName">
          <w:r w:rsidRPr="00D1794F">
            <w:rPr>
              <w:sz w:val="20"/>
            </w:rPr>
            <w:t>Studies</w:t>
          </w:r>
        </w:smartTag>
        <w:r w:rsidRPr="00D1794F">
          <w:rPr>
            <w:sz w:val="20"/>
          </w:rPr>
          <w:t xml:space="preserve"> </w:t>
        </w:r>
        <w:smartTag w:uri="urn:schemas-microsoft-com:office:smarttags" w:element="PlaceType">
          <w:r w:rsidRPr="00D1794F">
            <w:rPr>
              <w:sz w:val="20"/>
            </w:rPr>
            <w:t>Center</w:t>
          </w:r>
        </w:smartTag>
      </w:smartTag>
      <w:r w:rsidRPr="00D1794F">
        <w:rPr>
          <w:sz w:val="20"/>
        </w:rPr>
        <w:t xml:space="preserve">.  </w:t>
      </w:r>
      <w:smartTag w:uri="urn:schemas-microsoft-com:office:smarttags" w:element="PlaceType">
        <w:r w:rsidRPr="00D1794F">
          <w:rPr>
            <w:sz w:val="20"/>
          </w:rPr>
          <w:t>University</w:t>
        </w:r>
      </w:smartTag>
      <w:r w:rsidRPr="00D1794F">
        <w:rPr>
          <w:sz w:val="20"/>
        </w:rPr>
        <w:t xml:space="preserve"> of </w:t>
      </w:r>
      <w:smartTag w:uri="urn:schemas-microsoft-com:office:smarttags" w:element="PlaceName">
        <w:r w:rsidRPr="00D1794F">
          <w:rPr>
            <w:sz w:val="20"/>
          </w:rPr>
          <w:t>California</w:t>
        </w:r>
      </w:smartTag>
      <w:r w:rsidRPr="00D1794F">
        <w:rPr>
          <w:sz w:val="20"/>
        </w:rPr>
        <w:t xml:space="preserve">, </w:t>
      </w:r>
      <w:smartTag w:uri="urn:schemas-microsoft-com:office:smarttags" w:element="place">
        <w:smartTag w:uri="urn:schemas-microsoft-com:office:smarttags" w:element="City">
          <w:r w:rsidRPr="00D1794F">
            <w:rPr>
              <w:sz w:val="20"/>
            </w:rPr>
            <w:t>Los Angeles</w:t>
          </w:r>
        </w:smartTag>
        <w:r w:rsidRPr="00D1794F">
          <w:rPr>
            <w:sz w:val="20"/>
          </w:rPr>
          <w:t xml:space="preserve">, </w:t>
        </w:r>
        <w:smartTag w:uri="urn:schemas-microsoft-com:office:smarttags" w:element="State">
          <w:r w:rsidRPr="00D1794F">
            <w:rPr>
              <w:sz w:val="20"/>
            </w:rPr>
            <w:t>California</w:t>
          </w:r>
        </w:smartTag>
      </w:smartTag>
      <w:r w:rsidRPr="00D1794F">
        <w:rPr>
          <w:sz w:val="20"/>
        </w:rPr>
        <w:t>.</w:t>
      </w:r>
    </w:p>
    <w:p w:rsidR="00D1794F" w:rsidRPr="00D1794F" w:rsidRDefault="00D1794F" w:rsidP="00D1794F">
      <w:pPr>
        <w:jc w:val="left"/>
        <w:rPr>
          <w:sz w:val="20"/>
        </w:rPr>
      </w:pPr>
    </w:p>
    <w:p w:rsidR="00D1794F" w:rsidRPr="00D1794F" w:rsidRDefault="00D1794F" w:rsidP="00D1794F">
      <w:pPr>
        <w:jc w:val="left"/>
        <w:rPr>
          <w:sz w:val="20"/>
        </w:rPr>
      </w:pPr>
      <w:smartTag w:uri="urn:schemas-microsoft-com:office:smarttags" w:element="City">
        <w:smartTag w:uri="urn:schemas-microsoft-com:office:smarttags" w:element="place">
          <w:r w:rsidRPr="00D1794F">
            <w:rPr>
              <w:sz w:val="20"/>
            </w:rPr>
            <w:t>Griffin</w:t>
          </w:r>
        </w:smartTag>
      </w:smartTag>
      <w:r w:rsidRPr="00D1794F">
        <w:rPr>
          <w:sz w:val="20"/>
        </w:rPr>
        <w:t xml:space="preserve">, J.R. 1993.  </w:t>
      </w:r>
      <w:r w:rsidRPr="00D1794F">
        <w:rPr>
          <w:i/>
          <w:sz w:val="20"/>
        </w:rPr>
        <w:t>Pinus</w:t>
      </w:r>
      <w:r w:rsidRPr="00D1794F">
        <w:rPr>
          <w:sz w:val="20"/>
        </w:rPr>
        <w:t xml:space="preserve">.  Pages 117-120 IN: The </w:t>
      </w:r>
      <w:r w:rsidRPr="00D1794F">
        <w:rPr>
          <w:i/>
          <w:sz w:val="20"/>
        </w:rPr>
        <w:t xml:space="preserve">Jepson manual: Higher plants of </w:t>
      </w:r>
      <w:smartTag w:uri="urn:schemas-microsoft-com:office:smarttags" w:element="State">
        <w:smartTag w:uri="urn:schemas-microsoft-com:office:smarttags" w:element="place">
          <w:r w:rsidRPr="00D1794F">
            <w:rPr>
              <w:i/>
              <w:sz w:val="20"/>
            </w:rPr>
            <w:t>California</w:t>
          </w:r>
        </w:smartTag>
      </w:smartTag>
      <w:r w:rsidRPr="00D1794F">
        <w:rPr>
          <w:sz w:val="20"/>
        </w:rPr>
        <w:t xml:space="preserve">.  J.C. Hickman (ed.).  </w:t>
      </w:r>
      <w:smartTag w:uri="urn:schemas-microsoft-com:office:smarttags" w:element="PlaceType">
        <w:r w:rsidRPr="00D1794F">
          <w:rPr>
            <w:sz w:val="20"/>
          </w:rPr>
          <w:t>University</w:t>
        </w:r>
      </w:smartTag>
      <w:r w:rsidRPr="00D1794F">
        <w:rPr>
          <w:sz w:val="20"/>
        </w:rPr>
        <w:t xml:space="preserve"> of </w:t>
      </w:r>
      <w:smartTag w:uri="urn:schemas-microsoft-com:office:smarttags" w:element="PlaceName">
        <w:r w:rsidRPr="00D1794F">
          <w:rPr>
            <w:sz w:val="20"/>
          </w:rPr>
          <w:t>California</w:t>
        </w:r>
      </w:smartTag>
      <w:r w:rsidRPr="00D1794F">
        <w:rPr>
          <w:sz w:val="20"/>
        </w:rPr>
        <w:t xml:space="preserve"> Press, </w:t>
      </w:r>
      <w:smartTag w:uri="urn:schemas-microsoft-com:office:smarttags" w:element="place">
        <w:smartTag w:uri="urn:schemas-microsoft-com:office:smarttags" w:element="City">
          <w:r w:rsidRPr="00D1794F">
            <w:rPr>
              <w:sz w:val="20"/>
            </w:rPr>
            <w:t>Berkeley</w:t>
          </w:r>
        </w:smartTag>
        <w:r w:rsidRPr="00D1794F">
          <w:rPr>
            <w:sz w:val="20"/>
          </w:rPr>
          <w:t xml:space="preserve">, </w:t>
        </w:r>
        <w:smartTag w:uri="urn:schemas-microsoft-com:office:smarttags" w:element="State">
          <w:r w:rsidRPr="00D1794F">
            <w:rPr>
              <w:sz w:val="20"/>
            </w:rPr>
            <w:t>California</w:t>
          </w:r>
        </w:smartTag>
      </w:smartTag>
      <w:r w:rsidRPr="00D1794F">
        <w:rPr>
          <w:sz w:val="20"/>
        </w:rPr>
        <w:t>.</w:t>
      </w:r>
    </w:p>
    <w:p w:rsidR="00D1794F" w:rsidRPr="00D1794F" w:rsidRDefault="00D1794F" w:rsidP="00D1794F">
      <w:pPr>
        <w:jc w:val="left"/>
        <w:rPr>
          <w:sz w:val="20"/>
        </w:rPr>
      </w:pPr>
    </w:p>
    <w:p w:rsidR="00D1794F" w:rsidRPr="00D1794F" w:rsidRDefault="00D1794F" w:rsidP="00D1794F">
      <w:pPr>
        <w:jc w:val="left"/>
        <w:rPr>
          <w:sz w:val="20"/>
        </w:rPr>
      </w:pPr>
      <w:r w:rsidRPr="00D1794F">
        <w:rPr>
          <w:sz w:val="20"/>
        </w:rPr>
        <w:t xml:space="preserve">Littlejohn, H.W. 1928.  </w:t>
      </w:r>
      <w:r w:rsidRPr="00D1794F">
        <w:rPr>
          <w:i/>
          <w:sz w:val="20"/>
        </w:rPr>
        <w:t>Nisenan geography</w:t>
      </w:r>
      <w:r w:rsidRPr="00D1794F">
        <w:rPr>
          <w:sz w:val="20"/>
        </w:rPr>
        <w:t xml:space="preserve">.  Unpublished manuscript in the Bancroft Library, </w:t>
      </w:r>
      <w:smartTag w:uri="urn:schemas-microsoft-com:office:smarttags" w:element="PlaceType">
        <w:r w:rsidRPr="00D1794F">
          <w:rPr>
            <w:sz w:val="20"/>
          </w:rPr>
          <w:t>University</w:t>
        </w:r>
      </w:smartTag>
      <w:r w:rsidRPr="00D1794F">
        <w:rPr>
          <w:sz w:val="20"/>
        </w:rPr>
        <w:t xml:space="preserve"> of </w:t>
      </w:r>
      <w:smartTag w:uri="urn:schemas-microsoft-com:office:smarttags" w:element="PlaceName">
        <w:r w:rsidRPr="00D1794F">
          <w:rPr>
            <w:sz w:val="20"/>
          </w:rPr>
          <w:t>California</w:t>
        </w:r>
      </w:smartTag>
      <w:r w:rsidRPr="00D1794F">
        <w:rPr>
          <w:sz w:val="20"/>
        </w:rPr>
        <w:t xml:space="preserve">, </w:t>
      </w:r>
      <w:smartTag w:uri="urn:schemas-microsoft-com:office:smarttags" w:element="place">
        <w:smartTag w:uri="urn:schemas-microsoft-com:office:smarttags" w:element="City">
          <w:r w:rsidRPr="00D1794F">
            <w:rPr>
              <w:sz w:val="20"/>
            </w:rPr>
            <w:t>Berkeley</w:t>
          </w:r>
        </w:smartTag>
        <w:r w:rsidRPr="00D1794F">
          <w:rPr>
            <w:sz w:val="20"/>
          </w:rPr>
          <w:t xml:space="preserve">, </w:t>
        </w:r>
        <w:smartTag w:uri="urn:schemas-microsoft-com:office:smarttags" w:element="State">
          <w:r w:rsidRPr="00D1794F">
            <w:rPr>
              <w:sz w:val="20"/>
            </w:rPr>
            <w:t>California</w:t>
          </w:r>
        </w:smartTag>
      </w:smartTag>
      <w:r w:rsidRPr="00D1794F">
        <w:rPr>
          <w:sz w:val="20"/>
        </w:rPr>
        <w:t>.</w:t>
      </w:r>
    </w:p>
    <w:p w:rsidR="00D1794F" w:rsidRPr="00D1794F" w:rsidRDefault="00D1794F" w:rsidP="00D1794F">
      <w:pPr>
        <w:jc w:val="left"/>
        <w:rPr>
          <w:sz w:val="20"/>
        </w:rPr>
      </w:pPr>
    </w:p>
    <w:p w:rsidR="00D1794F" w:rsidRPr="00D1794F" w:rsidRDefault="00D1794F" w:rsidP="00D1794F">
      <w:pPr>
        <w:jc w:val="left"/>
        <w:rPr>
          <w:sz w:val="20"/>
        </w:rPr>
      </w:pPr>
      <w:r w:rsidRPr="00D1794F">
        <w:rPr>
          <w:sz w:val="20"/>
        </w:rPr>
        <w:t xml:space="preserve">Martin, A.C., H.S. Zim, &amp; A.L. Nelson 1951.  </w:t>
      </w:r>
      <w:r w:rsidRPr="00D1794F">
        <w:rPr>
          <w:i/>
          <w:sz w:val="20"/>
        </w:rPr>
        <w:t>American wildlife and plants:</w:t>
      </w:r>
      <w:r w:rsidRPr="00D1794F">
        <w:rPr>
          <w:sz w:val="20"/>
        </w:rPr>
        <w:t xml:space="preserve"> </w:t>
      </w:r>
      <w:r w:rsidRPr="00D1794F">
        <w:rPr>
          <w:i/>
          <w:sz w:val="20"/>
        </w:rPr>
        <w:t>A guide to wildlife food habits</w:t>
      </w:r>
      <w:r w:rsidRPr="00D1794F">
        <w:rPr>
          <w:sz w:val="20"/>
        </w:rPr>
        <w:t xml:space="preserve">.  </w:t>
      </w:r>
      <w:smartTag w:uri="urn:schemas-microsoft-com:office:smarttags" w:element="City">
        <w:r w:rsidRPr="00D1794F">
          <w:rPr>
            <w:sz w:val="20"/>
          </w:rPr>
          <w:t>Dover</w:t>
        </w:r>
      </w:smartTag>
      <w:r w:rsidRPr="00D1794F">
        <w:rPr>
          <w:sz w:val="20"/>
        </w:rPr>
        <w:t xml:space="preserve"> Publications, </w:t>
      </w:r>
      <w:smartTag w:uri="urn:schemas-microsoft-com:office:smarttags" w:element="place">
        <w:smartTag w:uri="urn:schemas-microsoft-com:office:smarttags" w:element="City">
          <w:r w:rsidRPr="00D1794F">
            <w:rPr>
              <w:sz w:val="20"/>
            </w:rPr>
            <w:t>New York</w:t>
          </w:r>
        </w:smartTag>
        <w:r w:rsidRPr="00D1794F">
          <w:rPr>
            <w:sz w:val="20"/>
          </w:rPr>
          <w:t xml:space="preserve">, </w:t>
        </w:r>
        <w:smartTag w:uri="urn:schemas-microsoft-com:office:smarttags" w:element="State">
          <w:r w:rsidRPr="00D1794F">
            <w:rPr>
              <w:sz w:val="20"/>
            </w:rPr>
            <w:t>New York</w:t>
          </w:r>
        </w:smartTag>
      </w:smartTag>
      <w:r w:rsidRPr="00D1794F">
        <w:rPr>
          <w:sz w:val="20"/>
        </w:rPr>
        <w:t>.</w:t>
      </w:r>
    </w:p>
    <w:p w:rsidR="00D1794F" w:rsidRPr="00D1794F" w:rsidRDefault="00D1794F" w:rsidP="00D1794F">
      <w:pPr>
        <w:jc w:val="left"/>
        <w:rPr>
          <w:sz w:val="20"/>
        </w:rPr>
      </w:pPr>
    </w:p>
    <w:p w:rsidR="00D1794F" w:rsidRPr="00D1794F" w:rsidRDefault="00D1794F" w:rsidP="00D1794F">
      <w:pPr>
        <w:jc w:val="left"/>
        <w:rPr>
          <w:sz w:val="20"/>
        </w:rPr>
      </w:pPr>
      <w:r w:rsidRPr="00D1794F">
        <w:rPr>
          <w:sz w:val="20"/>
        </w:rPr>
        <w:t xml:space="preserve">Peri, D.W., S.M. Patterson, &amp; J.L. Goodrich 1982.  </w:t>
      </w:r>
      <w:r w:rsidRPr="00D1794F">
        <w:rPr>
          <w:i/>
          <w:sz w:val="20"/>
        </w:rPr>
        <w:t xml:space="preserve">Ethnobotanical mitigation Warm Springs Dam-Lake </w:t>
      </w:r>
      <w:smartTag w:uri="urn:schemas-microsoft-com:office:smarttags" w:element="place">
        <w:smartTag w:uri="urn:schemas-microsoft-com:office:smarttags" w:element="City">
          <w:r w:rsidRPr="00D1794F">
            <w:rPr>
              <w:i/>
              <w:sz w:val="20"/>
            </w:rPr>
            <w:t>Sonoma</w:t>
          </w:r>
        </w:smartTag>
        <w:r w:rsidRPr="00D1794F">
          <w:rPr>
            <w:i/>
            <w:sz w:val="20"/>
          </w:rPr>
          <w:t xml:space="preserve"> </w:t>
        </w:r>
        <w:smartTag w:uri="urn:schemas-microsoft-com:office:smarttags" w:element="State">
          <w:r w:rsidRPr="00D1794F">
            <w:rPr>
              <w:i/>
              <w:sz w:val="20"/>
            </w:rPr>
            <w:t>California</w:t>
          </w:r>
        </w:smartTag>
      </w:smartTag>
      <w:r w:rsidRPr="00D1794F">
        <w:rPr>
          <w:i/>
          <w:sz w:val="20"/>
        </w:rPr>
        <w:t>.</w:t>
      </w:r>
      <w:r w:rsidRPr="00D1794F">
        <w:rPr>
          <w:sz w:val="20"/>
        </w:rPr>
        <w:t xml:space="preserve">  Unpublished report prepared for the U.S. Army Corps of Engineers, San Francisco District, </w:t>
      </w:r>
      <w:smartTag w:uri="urn:schemas-microsoft-com:office:smarttags" w:element="place">
        <w:smartTag w:uri="urn:schemas-microsoft-com:office:smarttags" w:element="City">
          <w:r w:rsidRPr="00D1794F">
            <w:rPr>
              <w:sz w:val="20"/>
            </w:rPr>
            <w:t>San Francisco</w:t>
          </w:r>
        </w:smartTag>
        <w:r w:rsidRPr="00D1794F">
          <w:rPr>
            <w:sz w:val="20"/>
          </w:rPr>
          <w:t xml:space="preserve">, </w:t>
        </w:r>
        <w:smartTag w:uri="urn:schemas-microsoft-com:office:smarttags" w:element="State">
          <w:r w:rsidRPr="00D1794F">
            <w:rPr>
              <w:sz w:val="20"/>
            </w:rPr>
            <w:t>California</w:t>
          </w:r>
        </w:smartTag>
      </w:smartTag>
      <w:r w:rsidRPr="00D1794F">
        <w:rPr>
          <w:sz w:val="20"/>
        </w:rPr>
        <w:t>.</w:t>
      </w:r>
    </w:p>
    <w:p w:rsidR="00D1794F" w:rsidRPr="00D1794F" w:rsidRDefault="00D1794F" w:rsidP="00D1794F">
      <w:pPr>
        <w:jc w:val="left"/>
        <w:rPr>
          <w:sz w:val="20"/>
        </w:rPr>
      </w:pPr>
    </w:p>
    <w:p w:rsidR="00D1794F" w:rsidRPr="00D1794F" w:rsidRDefault="00D1794F" w:rsidP="00D1794F">
      <w:pPr>
        <w:jc w:val="left"/>
        <w:rPr>
          <w:sz w:val="20"/>
        </w:rPr>
      </w:pPr>
      <w:r w:rsidRPr="00D1794F">
        <w:rPr>
          <w:sz w:val="20"/>
        </w:rPr>
        <w:t xml:space="preserve">USDA, NRCS 2000.  </w:t>
      </w:r>
      <w:r w:rsidRPr="00D1794F">
        <w:rPr>
          <w:i/>
          <w:sz w:val="20"/>
        </w:rPr>
        <w:t>The PLANTS database</w:t>
      </w:r>
      <w:r w:rsidRPr="00D1794F">
        <w:rPr>
          <w:sz w:val="20"/>
        </w:rPr>
        <w:t xml:space="preserve">.  &lt;http://plants.usda.gov&gt;.  Version: 000229.  </w:t>
      </w:r>
      <w:smartTag w:uri="urn:schemas-microsoft-com:office:smarttags" w:element="PlaceName">
        <w:r w:rsidRPr="00D1794F">
          <w:rPr>
            <w:sz w:val="20"/>
          </w:rPr>
          <w:t>National</w:t>
        </w:r>
      </w:smartTag>
      <w:r w:rsidRPr="00D1794F">
        <w:rPr>
          <w:sz w:val="20"/>
        </w:rPr>
        <w:t xml:space="preserve"> </w:t>
      </w:r>
      <w:smartTag w:uri="urn:schemas-microsoft-com:office:smarttags" w:element="PlaceName">
        <w:r w:rsidRPr="00D1794F">
          <w:rPr>
            <w:sz w:val="20"/>
          </w:rPr>
          <w:t>Plant</w:t>
        </w:r>
      </w:smartTag>
      <w:r w:rsidRPr="00D1794F">
        <w:rPr>
          <w:sz w:val="20"/>
        </w:rPr>
        <w:t xml:space="preserve"> </w:t>
      </w:r>
      <w:smartTag w:uri="urn:schemas-microsoft-com:office:smarttags" w:element="PlaceName">
        <w:r w:rsidRPr="00D1794F">
          <w:rPr>
            <w:sz w:val="20"/>
          </w:rPr>
          <w:t>Data</w:t>
        </w:r>
      </w:smartTag>
      <w:r w:rsidRPr="00D1794F">
        <w:rPr>
          <w:sz w:val="20"/>
        </w:rPr>
        <w:t xml:space="preserve"> </w:t>
      </w:r>
      <w:smartTag w:uri="urn:schemas-microsoft-com:office:smarttags" w:element="PlaceType">
        <w:r w:rsidRPr="00D1794F">
          <w:rPr>
            <w:sz w:val="20"/>
          </w:rPr>
          <w:t>Center</w:t>
        </w:r>
      </w:smartTag>
      <w:r w:rsidRPr="00D1794F">
        <w:rPr>
          <w:sz w:val="20"/>
        </w:rPr>
        <w:t xml:space="preserve">, </w:t>
      </w:r>
      <w:smartTag w:uri="urn:schemas-microsoft-com:office:smarttags" w:element="place">
        <w:smartTag w:uri="urn:schemas-microsoft-com:office:smarttags" w:element="City">
          <w:r w:rsidRPr="00D1794F">
            <w:rPr>
              <w:sz w:val="20"/>
            </w:rPr>
            <w:t>Baton Rouge</w:t>
          </w:r>
        </w:smartTag>
        <w:r w:rsidRPr="00D1794F">
          <w:rPr>
            <w:sz w:val="20"/>
          </w:rPr>
          <w:t xml:space="preserve">, </w:t>
        </w:r>
        <w:smartTag w:uri="urn:schemas-microsoft-com:office:smarttags" w:element="State">
          <w:r w:rsidRPr="00D1794F">
            <w:rPr>
              <w:sz w:val="20"/>
            </w:rPr>
            <w:t>Louisiana</w:t>
          </w:r>
        </w:smartTag>
      </w:smartTag>
      <w:r w:rsidRPr="00D1794F">
        <w:rPr>
          <w:sz w:val="20"/>
        </w:rPr>
        <w:t>.</w:t>
      </w:r>
    </w:p>
    <w:p w:rsidR="00D1794F" w:rsidRPr="00D1794F" w:rsidRDefault="00D1794F" w:rsidP="00D1794F">
      <w:pPr>
        <w:jc w:val="left"/>
        <w:rPr>
          <w:sz w:val="20"/>
        </w:rPr>
      </w:pPr>
    </w:p>
    <w:p w:rsidR="00D1794F" w:rsidRPr="00D1794F" w:rsidRDefault="00D1794F" w:rsidP="00D1794F">
      <w:pPr>
        <w:pStyle w:val="Heading6"/>
        <w:jc w:val="left"/>
        <w:rPr>
          <w:sz w:val="20"/>
        </w:rPr>
      </w:pPr>
      <w:r w:rsidRPr="00D1794F">
        <w:rPr>
          <w:sz w:val="20"/>
        </w:rPr>
        <w:t>Prepared By and Species Coordinator</w:t>
      </w:r>
    </w:p>
    <w:p w:rsidR="00D1794F" w:rsidRPr="00D1794F" w:rsidRDefault="00D1794F" w:rsidP="00D1794F">
      <w:pPr>
        <w:jc w:val="left"/>
        <w:rPr>
          <w:i/>
          <w:sz w:val="20"/>
        </w:rPr>
      </w:pPr>
      <w:r w:rsidRPr="00D1794F">
        <w:rPr>
          <w:i/>
          <w:sz w:val="20"/>
        </w:rPr>
        <w:t>M. Kat Anderson</w:t>
      </w:r>
    </w:p>
    <w:p w:rsidR="00D1794F" w:rsidRPr="00D1794F" w:rsidRDefault="00D1794F" w:rsidP="00D1794F">
      <w:pPr>
        <w:jc w:val="left"/>
        <w:rPr>
          <w:sz w:val="20"/>
        </w:rPr>
      </w:pPr>
      <w:r w:rsidRPr="00D1794F">
        <w:rPr>
          <w:sz w:val="20"/>
        </w:rPr>
        <w:t xml:space="preserve">USDA, NRCS, </w:t>
      </w:r>
      <w:smartTag w:uri="urn:schemas-microsoft-com:office:smarttags" w:element="place">
        <w:smartTag w:uri="urn:schemas-microsoft-com:office:smarttags" w:element="PlaceName">
          <w:r w:rsidRPr="00D1794F">
            <w:rPr>
              <w:sz w:val="20"/>
            </w:rPr>
            <w:t>National</w:t>
          </w:r>
        </w:smartTag>
        <w:r w:rsidRPr="00D1794F">
          <w:rPr>
            <w:sz w:val="20"/>
          </w:rPr>
          <w:t xml:space="preserve"> </w:t>
        </w:r>
        <w:smartTag w:uri="urn:schemas-microsoft-com:office:smarttags" w:element="PlaceName">
          <w:r w:rsidRPr="00D1794F">
            <w:rPr>
              <w:sz w:val="20"/>
            </w:rPr>
            <w:t>Plant</w:t>
          </w:r>
        </w:smartTag>
        <w:r w:rsidRPr="00D1794F">
          <w:rPr>
            <w:sz w:val="20"/>
          </w:rPr>
          <w:t xml:space="preserve"> </w:t>
        </w:r>
        <w:smartTag w:uri="urn:schemas-microsoft-com:office:smarttags" w:element="PlaceName">
          <w:r w:rsidRPr="00D1794F">
            <w:rPr>
              <w:sz w:val="20"/>
            </w:rPr>
            <w:t>Data</w:t>
          </w:r>
        </w:smartTag>
        <w:r w:rsidRPr="00D1794F">
          <w:rPr>
            <w:sz w:val="20"/>
          </w:rPr>
          <w:t xml:space="preserve"> </w:t>
        </w:r>
        <w:smartTag w:uri="urn:schemas-microsoft-com:office:smarttags" w:element="PlaceType">
          <w:r w:rsidRPr="00D1794F">
            <w:rPr>
              <w:sz w:val="20"/>
            </w:rPr>
            <w:t>Center</w:t>
          </w:r>
        </w:smartTag>
      </w:smartTag>
    </w:p>
    <w:p w:rsidR="00D1794F" w:rsidRPr="00D1794F" w:rsidRDefault="00D1794F" w:rsidP="00D1794F">
      <w:pPr>
        <w:jc w:val="left"/>
        <w:rPr>
          <w:sz w:val="20"/>
        </w:rPr>
      </w:pPr>
      <w:r w:rsidRPr="00D1794F">
        <w:rPr>
          <w:sz w:val="20"/>
        </w:rPr>
        <w:t xml:space="preserve">c/o Department of Environmental Horticulture, </w:t>
      </w:r>
      <w:smartTag w:uri="urn:schemas-microsoft-com:office:smarttags" w:element="PlaceType">
        <w:r w:rsidRPr="00D1794F">
          <w:rPr>
            <w:sz w:val="20"/>
          </w:rPr>
          <w:t>University</w:t>
        </w:r>
      </w:smartTag>
      <w:r w:rsidRPr="00D1794F">
        <w:rPr>
          <w:sz w:val="20"/>
        </w:rPr>
        <w:t xml:space="preserve"> of </w:t>
      </w:r>
      <w:smartTag w:uri="urn:schemas-microsoft-com:office:smarttags" w:element="PlaceName">
        <w:r w:rsidRPr="00D1794F">
          <w:rPr>
            <w:sz w:val="20"/>
          </w:rPr>
          <w:t>California</w:t>
        </w:r>
      </w:smartTag>
      <w:r w:rsidRPr="00D1794F">
        <w:rPr>
          <w:sz w:val="20"/>
        </w:rPr>
        <w:t xml:space="preserve">, </w:t>
      </w:r>
      <w:smartTag w:uri="urn:schemas-microsoft-com:office:smarttags" w:element="place">
        <w:smartTag w:uri="urn:schemas-microsoft-com:office:smarttags" w:element="City">
          <w:r w:rsidRPr="00D1794F">
            <w:rPr>
              <w:sz w:val="20"/>
            </w:rPr>
            <w:t>Davis</w:t>
          </w:r>
        </w:smartTag>
        <w:r w:rsidRPr="00D1794F">
          <w:rPr>
            <w:sz w:val="20"/>
          </w:rPr>
          <w:t xml:space="preserve">, </w:t>
        </w:r>
        <w:smartTag w:uri="urn:schemas-microsoft-com:office:smarttags" w:element="State">
          <w:r w:rsidRPr="00D1794F">
            <w:rPr>
              <w:sz w:val="20"/>
            </w:rPr>
            <w:t>California</w:t>
          </w:r>
        </w:smartTag>
      </w:smartTag>
    </w:p>
    <w:p w:rsidR="00D1794F" w:rsidRDefault="00D1794F" w:rsidP="00D1794F"/>
    <w:p w:rsidR="00D1794F" w:rsidRPr="00D1794F" w:rsidRDefault="00D1794F" w:rsidP="00D1794F">
      <w:pPr>
        <w:jc w:val="left"/>
        <w:rPr>
          <w:sz w:val="16"/>
          <w:szCs w:val="16"/>
        </w:rPr>
      </w:pPr>
      <w:r w:rsidRPr="00D1794F">
        <w:rPr>
          <w:sz w:val="16"/>
          <w:szCs w:val="16"/>
        </w:rPr>
        <w:t>Edited 05dec00 jsp; 29may03 ahv</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w:t>
      </w:r>
      <w:r w:rsidRPr="00DD41E3">
        <w:rPr>
          <w:rFonts w:ascii="Times New Roman" w:hAnsi="Times New Roman"/>
          <w:i/>
          <w:color w:val="0000FF"/>
          <w:sz w:val="16"/>
          <w:szCs w:val="16"/>
        </w:rPr>
        <w:lastRenderedPageBreak/>
        <w:t xml:space="preserve">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5ABC" w:rsidRDefault="00915ABC">
      <w:r>
        <w:separator/>
      </w:r>
    </w:p>
  </w:endnote>
  <w:endnote w:type="continuationSeparator" w:id="0">
    <w:p w:rsidR="00915ABC" w:rsidRDefault="00915AB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5ABC" w:rsidRDefault="00915ABC">
      <w:r>
        <w:separator/>
      </w:r>
    </w:p>
  </w:footnote>
  <w:footnote w:type="continuationSeparator" w:id="0">
    <w:p w:rsidR="00915ABC" w:rsidRDefault="00915AB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3611AE">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6A53"/>
    <w:rsid w:val="001E6B41"/>
    <w:rsid w:val="001F7210"/>
    <w:rsid w:val="002148DF"/>
    <w:rsid w:val="00222F37"/>
    <w:rsid w:val="002375B8"/>
    <w:rsid w:val="0026727E"/>
    <w:rsid w:val="002C45BA"/>
    <w:rsid w:val="00303F61"/>
    <w:rsid w:val="003611AE"/>
    <w:rsid w:val="0036701D"/>
    <w:rsid w:val="003749B3"/>
    <w:rsid w:val="00377934"/>
    <w:rsid w:val="00395D33"/>
    <w:rsid w:val="003E4863"/>
    <w:rsid w:val="004023C7"/>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E45C3"/>
    <w:rsid w:val="005F57D8"/>
    <w:rsid w:val="0061608E"/>
    <w:rsid w:val="006333FE"/>
    <w:rsid w:val="0064486F"/>
    <w:rsid w:val="00660D73"/>
    <w:rsid w:val="006B4B3E"/>
    <w:rsid w:val="00712AC4"/>
    <w:rsid w:val="007A3680"/>
    <w:rsid w:val="007F3743"/>
    <w:rsid w:val="00830F95"/>
    <w:rsid w:val="0088325A"/>
    <w:rsid w:val="0089154B"/>
    <w:rsid w:val="008B3C33"/>
    <w:rsid w:val="008E6018"/>
    <w:rsid w:val="008F3D5A"/>
    <w:rsid w:val="008F52D9"/>
    <w:rsid w:val="008F6154"/>
    <w:rsid w:val="0090312B"/>
    <w:rsid w:val="009122A8"/>
    <w:rsid w:val="00915ABC"/>
    <w:rsid w:val="00982214"/>
    <w:rsid w:val="009F0497"/>
    <w:rsid w:val="00A06FE6"/>
    <w:rsid w:val="00A12175"/>
    <w:rsid w:val="00A8423D"/>
    <w:rsid w:val="00AB0F7A"/>
    <w:rsid w:val="00AD30BE"/>
    <w:rsid w:val="00B755F2"/>
    <w:rsid w:val="00B76A82"/>
    <w:rsid w:val="00B841F9"/>
    <w:rsid w:val="00B8425D"/>
    <w:rsid w:val="00BA0E82"/>
    <w:rsid w:val="00BD616F"/>
    <w:rsid w:val="00BE5356"/>
    <w:rsid w:val="00BF44A8"/>
    <w:rsid w:val="00C71B7B"/>
    <w:rsid w:val="00C81773"/>
    <w:rsid w:val="00C95C6F"/>
    <w:rsid w:val="00CC0A51"/>
    <w:rsid w:val="00CD49CC"/>
    <w:rsid w:val="00CF06F8"/>
    <w:rsid w:val="00CF7EC1"/>
    <w:rsid w:val="00D00A96"/>
    <w:rsid w:val="00D1794F"/>
    <w:rsid w:val="00D53A51"/>
    <w:rsid w:val="00D62818"/>
    <w:rsid w:val="00DB0716"/>
    <w:rsid w:val="00DD41E3"/>
    <w:rsid w:val="00E06CC9"/>
    <w:rsid w:val="00E219E4"/>
    <w:rsid w:val="00E93233"/>
    <w:rsid w:val="00EA1929"/>
    <w:rsid w:val="00ED56E8"/>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lants.usda.gov/java/largeImage?imageID=pisa2_010_avp.jpg" TargetMode="External"/><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1255</Words>
  <Characters>7159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GRAY PINE</vt:lpstr>
    </vt:vector>
  </TitlesOfParts>
  <Company>USDA NRCS National Plant Data Center</Company>
  <LinksUpToDate>false</LinksUpToDate>
  <CharactersWithSpaces>8398</CharactersWithSpaces>
  <SharedDoc>false</SharedDoc>
  <HLinks>
    <vt:vector size="30"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ariant>
        <vt:i4>2031622</vt:i4>
      </vt:variant>
      <vt:variant>
        <vt:i4>0</vt:i4>
      </vt:variant>
      <vt:variant>
        <vt:i4>0</vt:i4>
      </vt:variant>
      <vt:variant>
        <vt:i4>5</vt:i4>
      </vt:variant>
      <vt:variant>
        <vt:lpwstr>http://plants.usda.gov/java/largeImage?imageID=pisa2_010_avp.jpg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GRAY PINE</dc:title>
  <dc:subject>Pinus sabiniana Dougl. ex Dougl.</dc:subject>
  <dc:creator>J. Scott Peterson</dc:creator>
  <cp:keywords/>
  <cp:lastModifiedBy>William Farrell</cp:lastModifiedBy>
  <cp:revision>2</cp:revision>
  <cp:lastPrinted>2003-06-09T21:39:00Z</cp:lastPrinted>
  <dcterms:created xsi:type="dcterms:W3CDTF">2011-01-25T19:03:00Z</dcterms:created>
  <dcterms:modified xsi:type="dcterms:W3CDTF">2011-01-25T19:03:00Z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