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7505B" w:rsidP="000578C2">
            <w:pPr>
              <w:pStyle w:val="TitleHeader"/>
              <w:rPr>
                <w:i/>
              </w:rPr>
            </w:pPr>
            <w:smartTag w:uri="urn:schemas-microsoft-com:office:smarttags" w:element="State">
              <w:r>
                <w:lastRenderedPageBreak/>
                <w:t>texas</w:t>
              </w:r>
            </w:smartTag>
            <w:r>
              <w:t xml:space="preserve"> </w:t>
            </w:r>
            <w:smartTag w:uri="urn:schemas-microsoft-com:office:smarttags" w:element="place">
              <w:r>
                <w:t>bluegrass</w:t>
              </w:r>
            </w:smartTag>
          </w:p>
        </w:tc>
      </w:tr>
      <w:tr w:rsidR="00CD49CC">
        <w:tblPrEx>
          <w:tblCellMar>
            <w:top w:w="0" w:type="dxa"/>
            <w:bottom w:w="0" w:type="dxa"/>
          </w:tblCellMar>
        </w:tblPrEx>
        <w:tc>
          <w:tcPr>
            <w:tcW w:w="4410" w:type="dxa"/>
          </w:tcPr>
          <w:p w:rsidR="00CD49CC" w:rsidRPr="008F3D5A" w:rsidRDefault="00B7505B" w:rsidP="008F3D5A">
            <w:pPr>
              <w:pStyle w:val="Titlesubheader1"/>
              <w:rPr>
                <w:i/>
              </w:rPr>
            </w:pPr>
            <w:r>
              <w:rPr>
                <w:i/>
              </w:rPr>
              <w:t>Poa arachnifera</w:t>
            </w:r>
            <w:r w:rsidR="000F1970" w:rsidRPr="008F3D5A">
              <w:t xml:space="preserve"> </w:t>
            </w:r>
            <w:r>
              <w:t>Torr.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B7505B">
              <w:t>POAR</w:t>
            </w:r>
          </w:p>
        </w:tc>
      </w:tr>
    </w:tbl>
    <w:p w:rsidR="00CD49CC" w:rsidRPr="003631C1" w:rsidRDefault="00CD49CC" w:rsidP="003631C1">
      <w:pPr>
        <w:jc w:val="left"/>
        <w:rPr>
          <w:sz w:val="20"/>
        </w:rPr>
      </w:pPr>
    </w:p>
    <w:p w:rsidR="00B7505B" w:rsidRPr="007C0562" w:rsidRDefault="00B7505B" w:rsidP="00B7505B">
      <w:pPr>
        <w:jc w:val="left"/>
        <w:rPr>
          <w:i/>
          <w:sz w:val="20"/>
        </w:rPr>
      </w:pPr>
      <w:r w:rsidRPr="007C0562">
        <w:rPr>
          <w:i/>
          <w:sz w:val="20"/>
        </w:rPr>
        <w:t>Contributed By: USDA NRCS National Plant Data</w:t>
      </w:r>
    </w:p>
    <w:p w:rsidR="00B7505B" w:rsidRDefault="00B7505B" w:rsidP="00B7505B">
      <w:pPr>
        <w:jc w:val="left"/>
        <w:rPr>
          <w:i/>
          <w:sz w:val="20"/>
        </w:rPr>
      </w:pPr>
      <w:r w:rsidRPr="007C0562">
        <w:rPr>
          <w:i/>
          <w:sz w:val="20"/>
        </w:rPr>
        <w:t>Center</w:t>
      </w:r>
    </w:p>
    <w:p w:rsidR="00B7505B" w:rsidRPr="00380A7F" w:rsidRDefault="00B7505B" w:rsidP="00B7505B">
      <w:pPr>
        <w:pStyle w:val="Heading1"/>
        <w:tabs>
          <w:tab w:val="left" w:pos="4973"/>
          <w:tab w:val="right" w:pos="5168"/>
        </w:tabs>
        <w:jc w:val="left"/>
      </w:pPr>
    </w:p>
    <w:p w:rsidR="00B7505B" w:rsidRPr="00380A7F" w:rsidRDefault="00B7505B" w:rsidP="00B7505B">
      <w:pPr>
        <w:pStyle w:val="Heading1"/>
        <w:tabs>
          <w:tab w:val="left" w:pos="4973"/>
          <w:tab w:val="right" w:pos="5168"/>
        </w:tabs>
        <w:jc w:val="left"/>
      </w:pPr>
      <w:r w:rsidRPr="00380A7F">
        <w:rPr>
          <w:noProof/>
        </w:rPr>
      </w:r>
      <w:r w:rsidR="00510D97" w:rsidRPr="00380A7F">
        <w:pict>
          <v:shapetype id="_x0000_t202" coordsize="21600,21600" o:spt="202" path="m,l,21600r21600,l21600,xe">
            <v:stroke joinstyle="miter"/>
            <v:path gradientshapeok="t" o:connecttype="rect"/>
          </v:shapetype>
          <v:shape id="_x0000_s1065" type="#_x0000_t202" alt="Text Box:  Line drawing of Poa arachnifera.&#10;From Britton &amp; Brown (1913)&#10;@ plants.usda.gov&#10;" style="width:3in;height:252pt;mso-wrap-style:none;mso-position-horizontal-relative:char;mso-position-vertical-relative:line" stroked="f">
            <v:textbox style="mso-fit-shape-to-text:t">
              <w:txbxContent>
                <w:p w:rsidR="00B7505B" w:rsidRDefault="00510D97" w:rsidP="00B7505B">
                  <w:r>
                    <w:rPr>
                      <w:noProof/>
                    </w:rPr>
                    <w:drawing>
                      <wp:inline distT="0" distB="0" distL="0" distR="0">
                        <wp:extent cx="2552700" cy="3819525"/>
                        <wp:effectExtent l="19050" t="0" r="0" b="0"/>
                        <wp:docPr id="3" name="Picture 3" descr="Poa arachnifera T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a arachnifera Torr."/>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B7505B" w:rsidRPr="007516D7" w:rsidRDefault="00B7505B" w:rsidP="00B7505B">
                  <w:pPr>
                    <w:jc w:val="right"/>
                    <w:rPr>
                      <w:sz w:val="16"/>
                      <w:szCs w:val="16"/>
                    </w:rPr>
                  </w:pPr>
                  <w:r w:rsidRPr="007516D7">
                    <w:rPr>
                      <w:sz w:val="16"/>
                      <w:szCs w:val="16"/>
                    </w:rPr>
                    <w:t>From Britton &amp; Brown (1913)</w:t>
                  </w:r>
                </w:p>
                <w:p w:rsidR="00B7505B" w:rsidRPr="007516D7" w:rsidRDefault="00B7505B" w:rsidP="00B7505B">
                  <w:pPr>
                    <w:jc w:val="right"/>
                    <w:rPr>
                      <w:sz w:val="16"/>
                      <w:szCs w:val="16"/>
                    </w:rPr>
                  </w:pPr>
                  <w:r w:rsidRPr="007516D7">
                    <w:rPr>
                      <w:sz w:val="16"/>
                      <w:szCs w:val="16"/>
                    </w:rPr>
                    <w:t>@ plants.usda.gov</w:t>
                  </w:r>
                </w:p>
              </w:txbxContent>
            </v:textbox>
            <w10:anchorlock/>
          </v:shape>
        </w:pict>
      </w:r>
    </w:p>
    <w:p w:rsidR="00B7505B" w:rsidRPr="00380A7F" w:rsidRDefault="00B7505B" w:rsidP="00B7505B">
      <w:pPr>
        <w:pStyle w:val="Heading2"/>
        <w:jc w:val="left"/>
        <w:rPr>
          <w:sz w:val="20"/>
        </w:rPr>
      </w:pPr>
      <w:r w:rsidRPr="00380A7F">
        <w:rPr>
          <w:sz w:val="20"/>
        </w:rPr>
        <w:t>Uses</w:t>
      </w:r>
    </w:p>
    <w:p w:rsidR="00B7505B" w:rsidRPr="00380A7F" w:rsidRDefault="00B7505B" w:rsidP="00B7505B">
      <w:pPr>
        <w:jc w:val="left"/>
        <w:rPr>
          <w:sz w:val="20"/>
        </w:rPr>
      </w:pPr>
      <w:r w:rsidRPr="00380A7F">
        <w:rPr>
          <w:sz w:val="20"/>
        </w:rPr>
        <w:t>All livestock use texas bluegrass for winter grazing throughout its range.  It has also been used as a lawn grass.</w:t>
      </w:r>
    </w:p>
    <w:p w:rsidR="00B7505B" w:rsidRPr="00380A7F" w:rsidRDefault="00B7505B" w:rsidP="00B7505B">
      <w:pPr>
        <w:jc w:val="left"/>
        <w:rPr>
          <w:b/>
          <w:sz w:val="20"/>
        </w:rPr>
      </w:pPr>
    </w:p>
    <w:p w:rsidR="00B7505B" w:rsidRPr="00380A7F" w:rsidRDefault="00B7505B" w:rsidP="00B7505B">
      <w:pPr>
        <w:pStyle w:val="Heading2"/>
        <w:jc w:val="left"/>
        <w:rPr>
          <w:sz w:val="20"/>
        </w:rPr>
      </w:pPr>
      <w:r w:rsidRPr="00380A7F">
        <w:rPr>
          <w:sz w:val="20"/>
        </w:rPr>
        <w:t>Status</w:t>
      </w:r>
    </w:p>
    <w:p w:rsidR="00B7505B" w:rsidRPr="00380A7F" w:rsidRDefault="00B7505B" w:rsidP="00B7505B">
      <w:pPr>
        <w:jc w:val="left"/>
        <w:rPr>
          <w:sz w:val="20"/>
        </w:rPr>
      </w:pPr>
      <w:r w:rsidRPr="00380A7F">
        <w:rPr>
          <w:sz w:val="20"/>
        </w:rPr>
        <w:t>Please consult the PLANTS Web site and your State Department of Natural Resources for this plant’s current status, such as, state noxious status, and wetland indicator values.</w:t>
      </w:r>
    </w:p>
    <w:p w:rsidR="00B7505B" w:rsidRPr="00380A7F" w:rsidRDefault="00B7505B" w:rsidP="00B7505B">
      <w:pPr>
        <w:jc w:val="left"/>
        <w:rPr>
          <w:sz w:val="20"/>
        </w:rPr>
      </w:pPr>
    </w:p>
    <w:p w:rsidR="00B7505B" w:rsidRPr="00380A7F" w:rsidRDefault="00B7505B" w:rsidP="00B7505B">
      <w:pPr>
        <w:pStyle w:val="Heading2"/>
        <w:jc w:val="left"/>
        <w:rPr>
          <w:sz w:val="20"/>
        </w:rPr>
      </w:pPr>
      <w:r w:rsidRPr="00380A7F">
        <w:rPr>
          <w:sz w:val="20"/>
        </w:rPr>
        <w:t>Description</w:t>
      </w:r>
    </w:p>
    <w:p w:rsidR="00B7505B" w:rsidRPr="00380A7F" w:rsidRDefault="00B7505B" w:rsidP="00B7505B">
      <w:pPr>
        <w:jc w:val="left"/>
        <w:rPr>
          <w:sz w:val="20"/>
        </w:rPr>
      </w:pPr>
      <w:r w:rsidRPr="00380A7F">
        <w:rPr>
          <w:sz w:val="20"/>
        </w:rPr>
        <w:t xml:space="preserve">Grass Family (Poaceae).  </w:t>
      </w:r>
      <w:smartTag w:uri="urn:schemas-microsoft-com:office:smarttags" w:element="place">
        <w:smartTag w:uri="urn:schemas-microsoft-com:office:smarttags" w:element="State">
          <w:r w:rsidRPr="00380A7F">
            <w:rPr>
              <w:sz w:val="20"/>
            </w:rPr>
            <w:t>Texas</w:t>
          </w:r>
        </w:smartTag>
      </w:smartTag>
      <w:r w:rsidRPr="00380A7F">
        <w:rPr>
          <w:sz w:val="20"/>
        </w:rPr>
        <w:t xml:space="preserve"> bluegrass is a native, cool</w:t>
      </w:r>
      <w:r w:rsidRPr="00380A7F">
        <w:rPr>
          <w:sz w:val="20"/>
        </w:rPr>
        <w:noBreakHyphen/>
        <w:t xml:space="preserve">season, rhizomatous perennial.  The height ranges from 10 to 20 inches.  The leaf blade is mostly </w:t>
      </w:r>
      <w:r w:rsidRPr="00380A7F">
        <w:rPr>
          <w:sz w:val="20"/>
        </w:rPr>
        <w:lastRenderedPageBreak/>
        <w:t>basal, long, narrow, and boat shaped at the end.  The seedhead is a narrow panicle with somewhat compressed 2 to 4 inches long and male and female spikelets on the same plant.</w:t>
      </w:r>
    </w:p>
    <w:p w:rsidR="00B7505B" w:rsidRPr="00380A7F" w:rsidRDefault="00B7505B" w:rsidP="00B7505B">
      <w:pPr>
        <w:jc w:val="left"/>
        <w:rPr>
          <w:sz w:val="20"/>
        </w:rPr>
      </w:pPr>
    </w:p>
    <w:p w:rsidR="00B7505B" w:rsidRPr="00380A7F" w:rsidRDefault="00B7505B" w:rsidP="00B7505B">
      <w:pPr>
        <w:pStyle w:val="Bodytext0"/>
      </w:pPr>
      <w:r w:rsidRPr="00380A7F">
        <w:rPr>
          <w:i/>
        </w:rPr>
        <w:t>Distribution</w:t>
      </w:r>
      <w:r w:rsidRPr="00380A7F">
        <w:t>: For current distribution, please consult the Plant Profile page for this species on the PLANTS Web site.</w:t>
      </w:r>
    </w:p>
    <w:p w:rsidR="00B7505B" w:rsidRPr="00380A7F" w:rsidRDefault="00B7505B" w:rsidP="00B7505B">
      <w:pPr>
        <w:jc w:val="left"/>
        <w:rPr>
          <w:sz w:val="20"/>
        </w:rPr>
      </w:pPr>
    </w:p>
    <w:p w:rsidR="00B7505B" w:rsidRPr="00380A7F" w:rsidRDefault="00B7505B" w:rsidP="00B7505B">
      <w:pPr>
        <w:pStyle w:val="Heading1"/>
        <w:jc w:val="left"/>
      </w:pPr>
      <w:r w:rsidRPr="00380A7F">
        <w:t>Management</w:t>
      </w:r>
    </w:p>
    <w:p w:rsidR="00B7505B" w:rsidRPr="00380A7F" w:rsidRDefault="00B7505B" w:rsidP="00B7505B">
      <w:pPr>
        <w:jc w:val="left"/>
        <w:rPr>
          <w:sz w:val="20"/>
        </w:rPr>
      </w:pPr>
      <w:r w:rsidRPr="00380A7F">
        <w:rPr>
          <w:sz w:val="20"/>
        </w:rPr>
        <w:t>Grazing should be deferred in spring every few years to allow this grass to produce a seed crop.  It is a key management species on some sites that are winter grazed by cattle and sheep.  If it is, no more than 50 percent of current year's growth by weight should be removed by grazing.</w:t>
      </w:r>
    </w:p>
    <w:p w:rsidR="00B7505B" w:rsidRPr="00380A7F" w:rsidRDefault="00B7505B" w:rsidP="00B7505B">
      <w:pPr>
        <w:jc w:val="left"/>
        <w:rPr>
          <w:sz w:val="20"/>
        </w:rPr>
      </w:pPr>
    </w:p>
    <w:p w:rsidR="00B7505B" w:rsidRPr="00380A7F" w:rsidRDefault="00B7505B" w:rsidP="00B7505B">
      <w:pPr>
        <w:pStyle w:val="Heading1"/>
        <w:jc w:val="left"/>
      </w:pPr>
      <w:r w:rsidRPr="00380A7F">
        <w:t>Establishment</w:t>
      </w:r>
    </w:p>
    <w:p w:rsidR="00B7505B" w:rsidRPr="00380A7F" w:rsidRDefault="00B7505B" w:rsidP="00B7505B">
      <w:pPr>
        <w:jc w:val="left"/>
        <w:rPr>
          <w:sz w:val="20"/>
        </w:rPr>
      </w:pPr>
      <w:r w:rsidRPr="00380A7F">
        <w:rPr>
          <w:sz w:val="20"/>
        </w:rPr>
        <w:t>Growth begins in the fall.  Foliage stays green all winter, if moisture is available.  It becomes dormant through the hot summer months.  In extremely low temperatures, leaves freeze but more leaves grow from auxiliary buds on the basal nodes.  It reproduces from stolons and from seed.  Seeds produced in the spring germinate in the fall.  It grows best on clay and clay loam soils.</w:t>
      </w:r>
    </w:p>
    <w:p w:rsidR="00B7505B" w:rsidRPr="00380A7F" w:rsidRDefault="00B7505B" w:rsidP="00B7505B">
      <w:pPr>
        <w:ind w:firstLine="226"/>
        <w:jc w:val="left"/>
        <w:rPr>
          <w:sz w:val="20"/>
        </w:rPr>
      </w:pPr>
    </w:p>
    <w:p w:rsidR="00B7505B" w:rsidRPr="00CB0B17" w:rsidRDefault="00B7505B" w:rsidP="00B7505B">
      <w:pPr>
        <w:pStyle w:val="Heading2"/>
        <w:jc w:val="left"/>
        <w:rPr>
          <w:sz w:val="20"/>
        </w:rPr>
      </w:pPr>
      <w:r w:rsidRPr="00CB0B17">
        <w:rPr>
          <w:sz w:val="20"/>
        </w:rPr>
        <w:t xml:space="preserve">Cultivars, Improved and Selected Materials (and area of origin) </w:t>
      </w:r>
    </w:p>
    <w:p w:rsidR="00B7505B" w:rsidRPr="00CB0B17" w:rsidRDefault="00B7505B" w:rsidP="00B7505B">
      <w:pPr>
        <w:pStyle w:val="PlainText"/>
        <w:rPr>
          <w:rFonts w:ascii="Times New Roman" w:hAnsi="Times New Roman"/>
          <w:b/>
        </w:rPr>
      </w:pPr>
      <w:r w:rsidRPr="00CB0B17">
        <w:rPr>
          <w:rFonts w:ascii="Times New Roman" w:hAnsi="Times New Roman"/>
        </w:rPr>
        <w:t>Please contact your local NRCS Field Office.</w:t>
      </w:r>
    </w:p>
    <w:p w:rsidR="00B7505B" w:rsidRPr="00CB0B17" w:rsidRDefault="00B7505B" w:rsidP="00B7505B">
      <w:pPr>
        <w:pStyle w:val="Heading2"/>
        <w:jc w:val="left"/>
        <w:rPr>
          <w:b w:val="0"/>
          <w:sz w:val="20"/>
        </w:rPr>
      </w:pPr>
    </w:p>
    <w:p w:rsidR="00B7505B" w:rsidRPr="00CB0B17" w:rsidRDefault="00B7505B" w:rsidP="00B7505B">
      <w:pPr>
        <w:jc w:val="left"/>
        <w:rPr>
          <w:b/>
          <w:sz w:val="20"/>
        </w:rPr>
      </w:pPr>
      <w:r w:rsidRPr="00CB0B17">
        <w:rPr>
          <w:b/>
          <w:sz w:val="20"/>
        </w:rPr>
        <w:t>Reference</w:t>
      </w:r>
    </w:p>
    <w:p w:rsidR="00B7505B" w:rsidRPr="00F07D17" w:rsidRDefault="00B7505B" w:rsidP="00B7505B">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B7505B" w:rsidRPr="00F07D17" w:rsidRDefault="00B7505B" w:rsidP="00B7505B">
      <w:pPr>
        <w:jc w:val="left"/>
        <w:rPr>
          <w:sz w:val="20"/>
        </w:rPr>
      </w:pPr>
    </w:p>
    <w:p w:rsidR="00B7505B" w:rsidRPr="00755785" w:rsidRDefault="00B7505B" w:rsidP="00B7505B">
      <w:pPr>
        <w:pStyle w:val="Heading2"/>
        <w:jc w:val="left"/>
        <w:rPr>
          <w:sz w:val="20"/>
        </w:rPr>
      </w:pPr>
      <w:r w:rsidRPr="00755785">
        <w:rPr>
          <w:sz w:val="20"/>
        </w:rPr>
        <w:t>Prepared By &amp; Species Coordinator:</w:t>
      </w:r>
    </w:p>
    <w:p w:rsidR="00B7505B" w:rsidRDefault="00B7505B" w:rsidP="00B7505B">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B7505B" w:rsidRDefault="00B7505B" w:rsidP="00B7505B">
      <w:pPr>
        <w:pStyle w:val="PlainText"/>
        <w:rPr>
          <w:rFonts w:ascii="Times New Roman" w:hAnsi="Times New Roman"/>
          <w:snapToGrid w:val="0"/>
        </w:rPr>
      </w:pPr>
    </w:p>
    <w:p w:rsidR="00B7505B" w:rsidRDefault="00B7505B" w:rsidP="00B7505B">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444" w:rsidRDefault="00BB1444">
      <w:r>
        <w:separator/>
      </w:r>
    </w:p>
  </w:endnote>
  <w:endnote w:type="continuationSeparator" w:id="0">
    <w:p w:rsidR="00BB1444" w:rsidRDefault="00BB14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444" w:rsidRDefault="00BB1444">
      <w:r>
        <w:separator/>
      </w:r>
    </w:p>
  </w:footnote>
  <w:footnote w:type="continuationSeparator" w:id="0">
    <w:p w:rsidR="00BB1444" w:rsidRDefault="00BB14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10D9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10D97"/>
    <w:rsid w:val="00521D04"/>
    <w:rsid w:val="00554658"/>
    <w:rsid w:val="00592CFA"/>
    <w:rsid w:val="006631A2"/>
    <w:rsid w:val="00667542"/>
    <w:rsid w:val="006A7F33"/>
    <w:rsid w:val="006C47E2"/>
    <w:rsid w:val="006E5F7B"/>
    <w:rsid w:val="00717F00"/>
    <w:rsid w:val="00741185"/>
    <w:rsid w:val="00742DE3"/>
    <w:rsid w:val="0078288F"/>
    <w:rsid w:val="007C52E4"/>
    <w:rsid w:val="007F678B"/>
    <w:rsid w:val="008455BA"/>
    <w:rsid w:val="008F3D5A"/>
    <w:rsid w:val="00942547"/>
    <w:rsid w:val="00955302"/>
    <w:rsid w:val="009A0E7A"/>
    <w:rsid w:val="009C10B0"/>
    <w:rsid w:val="009D5F78"/>
    <w:rsid w:val="00A43227"/>
    <w:rsid w:val="00B0669A"/>
    <w:rsid w:val="00B07BD5"/>
    <w:rsid w:val="00B55E68"/>
    <w:rsid w:val="00B730E7"/>
    <w:rsid w:val="00B7505B"/>
    <w:rsid w:val="00B8425D"/>
    <w:rsid w:val="00BB1444"/>
    <w:rsid w:val="00BE5356"/>
    <w:rsid w:val="00C20134"/>
    <w:rsid w:val="00C36DFB"/>
    <w:rsid w:val="00C86821"/>
    <w:rsid w:val="00CD49CC"/>
    <w:rsid w:val="00CF7EC1"/>
    <w:rsid w:val="00D61972"/>
    <w:rsid w:val="00D62818"/>
    <w:rsid w:val="00D82A41"/>
    <w:rsid w:val="00D82E30"/>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B7505B"/>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3542</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bluegrass</dc:title>
  <dc:subject>Poa arachnifera</dc:subject>
  <dc:creator>J. Scott Peterson</dc:creator>
  <cp:keywords/>
  <cp:lastModifiedBy>William Farrell</cp:lastModifiedBy>
  <cp:revision>2</cp:revision>
  <cp:lastPrinted>2003-06-09T21:39:00Z</cp:lastPrinted>
  <dcterms:created xsi:type="dcterms:W3CDTF">2011-01-25T18:00:00Z</dcterms:created>
  <dcterms:modified xsi:type="dcterms:W3CDTF">2011-01-25T18:00:00Z</dcterms:modified>
</cp:coreProperties>
</file>