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076DBB">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64731E" w:rsidP="000578C2">
            <w:pPr>
              <w:pStyle w:val="TitleHeader"/>
              <w:rPr>
                <w:i/>
              </w:rPr>
            </w:pPr>
            <w:r>
              <w:lastRenderedPageBreak/>
              <w:t>ANTELOPE BITTERBRUSH</w:t>
            </w:r>
          </w:p>
        </w:tc>
      </w:tr>
      <w:tr w:rsidR="00CD49CC">
        <w:tblPrEx>
          <w:tblCellMar>
            <w:top w:w="0" w:type="dxa"/>
            <w:bottom w:w="0" w:type="dxa"/>
          </w:tblCellMar>
        </w:tblPrEx>
        <w:tc>
          <w:tcPr>
            <w:tcW w:w="4410" w:type="dxa"/>
          </w:tcPr>
          <w:p w:rsidR="00CD49CC" w:rsidRPr="008F3D5A" w:rsidRDefault="0064731E" w:rsidP="0064731E">
            <w:pPr>
              <w:pStyle w:val="Titlesubheader1"/>
              <w:jc w:val="both"/>
              <w:rPr>
                <w:i/>
              </w:rPr>
            </w:pPr>
            <w:r>
              <w:rPr>
                <w:i/>
              </w:rPr>
              <w:t xml:space="preserve">Purshia </w:t>
            </w:r>
            <w:r w:rsidR="0059150F">
              <w:rPr>
                <w:i/>
              </w:rPr>
              <w:t xml:space="preserve">tridentate </w:t>
            </w:r>
            <w:r>
              <w:rPr>
                <w:i/>
              </w:rPr>
              <w:t xml:space="preserve">(Pursh) </w:t>
            </w:r>
            <w:r w:rsidRPr="002041F9">
              <w:t>DC</w:t>
            </w:r>
            <w:r>
              <w:rPr>
                <w:i/>
              </w:rPr>
              <w:t>.</w:t>
            </w:r>
          </w:p>
        </w:tc>
      </w:tr>
      <w:tr w:rsidR="00CD49CC">
        <w:tblPrEx>
          <w:tblCellMar>
            <w:top w:w="0" w:type="dxa"/>
            <w:bottom w:w="0" w:type="dxa"/>
          </w:tblCellMar>
        </w:tblPrEx>
        <w:tc>
          <w:tcPr>
            <w:tcW w:w="4410" w:type="dxa"/>
          </w:tcPr>
          <w:p w:rsidR="00CD49CC" w:rsidRDefault="00D540AD" w:rsidP="008F3D5A">
            <w:pPr>
              <w:pStyle w:val="Titlesubheader2"/>
              <w:rPr>
                <w:i/>
              </w:rPr>
            </w:pPr>
            <w:r>
              <w:t xml:space="preserve">Plant </w:t>
            </w:r>
            <w:r w:rsidR="00496441">
              <w:t>S</w:t>
            </w:r>
            <w:r>
              <w:t xml:space="preserve">ymbol = </w:t>
            </w:r>
            <w:r w:rsidR="0064731E">
              <w:t>PUTR2</w:t>
            </w:r>
          </w:p>
        </w:tc>
      </w:tr>
    </w:tbl>
    <w:p w:rsidR="00CD49CC" w:rsidRPr="003631C1" w:rsidRDefault="00CD49CC" w:rsidP="003631C1">
      <w:pPr>
        <w:jc w:val="left"/>
        <w:rPr>
          <w:sz w:val="20"/>
        </w:rPr>
      </w:pPr>
    </w:p>
    <w:p w:rsidR="00CD49CC" w:rsidRDefault="009D446C" w:rsidP="00F802DB">
      <w:pPr>
        <w:pStyle w:val="Header2"/>
      </w:pPr>
      <w:r>
        <w:t>Contributed b</w:t>
      </w:r>
      <w:r w:rsidR="00BA0B52">
        <w:t>y</w:t>
      </w:r>
      <w:r w:rsidR="0064731E">
        <w:t>:</w:t>
      </w:r>
      <w:r>
        <w:t xml:space="preserve"> </w:t>
      </w:r>
      <w:r w:rsidR="0064731E">
        <w:t xml:space="preserve">Upper Colorado Environmental </w:t>
      </w:r>
      <w:smartTag w:uri="urn:schemas-microsoft-com:office:smarttags" w:element="place">
        <w:smartTag w:uri="urn:schemas-microsoft-com:office:smarttags" w:element="PlaceName">
          <w:r w:rsidR="0064731E">
            <w:t>Plant</w:t>
          </w:r>
        </w:smartTag>
        <w:r w:rsidR="0064731E">
          <w:t xml:space="preserve"> </w:t>
        </w:r>
        <w:smartTag w:uri="urn:schemas-microsoft-com:office:smarttags" w:element="PlaceType">
          <w:r w:rsidR="0064731E">
            <w:t>Center</w:t>
          </w:r>
        </w:smartTag>
      </w:smartTag>
    </w:p>
    <w:p w:rsidR="004F0A5F" w:rsidRPr="00860B97" w:rsidRDefault="00383EE8" w:rsidP="00F802DB">
      <w:pPr>
        <w:pStyle w:val="Header2"/>
        <w:rPr>
          <w:i w:val="0"/>
        </w:rPr>
      </w:pPr>
      <w:r>
        <w:rPr>
          <w:i w:val="0"/>
          <w:noProof/>
        </w:rPr>
        <w:drawing>
          <wp:inline distT="0" distB="0" distL="0" distR="0">
            <wp:extent cx="2847975" cy="3867150"/>
            <wp:effectExtent l="19050" t="0" r="9525" b="0"/>
            <wp:docPr id="1" name="Picture 1" descr="Color image of antelope bitterbrush by Steve Pa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 image of antelope bitterbrush by Steve Parr."/>
                    <pic:cNvPicPr>
                      <a:picLocks noChangeAspect="1" noChangeArrowheads="1"/>
                    </pic:cNvPicPr>
                  </pic:nvPicPr>
                  <pic:blipFill>
                    <a:blip r:embed="rId8" cstate="print"/>
                    <a:srcRect/>
                    <a:stretch>
                      <a:fillRect/>
                    </a:stretch>
                  </pic:blipFill>
                  <pic:spPr bwMode="auto">
                    <a:xfrm>
                      <a:off x="0" y="0"/>
                      <a:ext cx="2847975" cy="3867150"/>
                    </a:xfrm>
                    <a:prstGeom prst="rect">
                      <a:avLst/>
                    </a:prstGeom>
                    <a:noFill/>
                    <a:ln w="9525">
                      <a:noFill/>
                      <a:miter lim="800000"/>
                      <a:headEnd/>
                      <a:tailEnd/>
                    </a:ln>
                  </pic:spPr>
                </pic:pic>
              </a:graphicData>
            </a:graphic>
          </wp:inline>
        </w:drawing>
      </w:r>
    </w:p>
    <w:p w:rsidR="00E80472" w:rsidRPr="00496441" w:rsidRDefault="00496441" w:rsidP="008455BA">
      <w:pPr>
        <w:pStyle w:val="Header3"/>
        <w:rPr>
          <w:b w:val="0"/>
          <w:sz w:val="16"/>
          <w:szCs w:val="16"/>
        </w:rPr>
      </w:pPr>
      <w:r>
        <w:rPr>
          <w:b w:val="0"/>
          <w:sz w:val="16"/>
          <w:szCs w:val="16"/>
        </w:rPr>
        <w:t xml:space="preserve">Steve Parr, UCEPC, Meeker, </w:t>
      </w:r>
      <w:smartTag w:uri="urn:schemas-microsoft-com:office:smarttags" w:element="State">
        <w:smartTag w:uri="urn:schemas-microsoft-com:office:smarttags" w:element="place">
          <w:r>
            <w:rPr>
              <w:b w:val="0"/>
              <w:sz w:val="16"/>
              <w:szCs w:val="16"/>
            </w:rPr>
            <w:t>Colorado</w:t>
          </w:r>
        </w:smartTag>
      </w:smartTag>
    </w:p>
    <w:p w:rsidR="00E80472" w:rsidRDefault="00E80472" w:rsidP="008455BA">
      <w:pPr>
        <w:pStyle w:val="Header3"/>
        <w:rPr>
          <w:i/>
        </w:rPr>
      </w:pPr>
    </w:p>
    <w:p w:rsidR="009F3107" w:rsidRDefault="009F3107" w:rsidP="008455BA">
      <w:pPr>
        <w:pStyle w:val="Header3"/>
      </w:pPr>
    </w:p>
    <w:p w:rsidR="00E80472" w:rsidRDefault="00E80472" w:rsidP="008455BA">
      <w:pPr>
        <w:pStyle w:val="Header3"/>
      </w:pPr>
      <w:r>
        <w:t>Alternate Names</w:t>
      </w:r>
    </w:p>
    <w:p w:rsidR="00E80472" w:rsidRDefault="00E80472" w:rsidP="008455BA">
      <w:pPr>
        <w:pStyle w:val="Header3"/>
        <w:rPr>
          <w:b w:val="0"/>
        </w:rPr>
      </w:pPr>
      <w:r>
        <w:rPr>
          <w:b w:val="0"/>
        </w:rPr>
        <w:t>Antelopebrush, buckbrush, quininebrush</w:t>
      </w:r>
    </w:p>
    <w:p w:rsidR="009F3107" w:rsidRDefault="009F3107" w:rsidP="008455BA">
      <w:pPr>
        <w:pStyle w:val="Header3"/>
        <w:rPr>
          <w:b w:val="0"/>
        </w:rPr>
      </w:pPr>
    </w:p>
    <w:p w:rsidR="009F3107" w:rsidRDefault="00E80472" w:rsidP="008455BA">
      <w:pPr>
        <w:pStyle w:val="Header3"/>
      </w:pPr>
      <w:r>
        <w:t>Uses</w:t>
      </w:r>
    </w:p>
    <w:p w:rsidR="00AD5E95" w:rsidRPr="00AD5E95" w:rsidRDefault="00E80472" w:rsidP="008455BA">
      <w:pPr>
        <w:pStyle w:val="Header3"/>
        <w:rPr>
          <w:b w:val="0"/>
        </w:rPr>
      </w:pPr>
      <w:r>
        <w:rPr>
          <w:b w:val="0"/>
        </w:rPr>
        <w:t>Antelope</w:t>
      </w:r>
      <w:r w:rsidR="00860B97">
        <w:rPr>
          <w:i/>
        </w:rPr>
        <w:t xml:space="preserve"> </w:t>
      </w:r>
      <w:r w:rsidR="00AD5E95">
        <w:rPr>
          <w:b w:val="0"/>
        </w:rPr>
        <w:t>bitterbrush is a very palatable</w:t>
      </w:r>
      <w:r w:rsidR="00D91693">
        <w:rPr>
          <w:b w:val="0"/>
        </w:rPr>
        <w:t>, high quality</w:t>
      </w:r>
      <w:r w:rsidR="00AD5E95">
        <w:rPr>
          <w:b w:val="0"/>
        </w:rPr>
        <w:t xml:space="preserve"> shrub for big game and livestock. It also provides cover for small animals and birds.</w:t>
      </w:r>
      <w:r w:rsidR="00D91693">
        <w:rPr>
          <w:b w:val="0"/>
        </w:rPr>
        <w:t xml:space="preserve">  It is considered a medium quality cover for sage-grouse.  </w:t>
      </w:r>
      <w:r w:rsidR="00AD5E95">
        <w:rPr>
          <w:b w:val="0"/>
        </w:rPr>
        <w:t>Bitterbrush seed is</w:t>
      </w:r>
      <w:r w:rsidR="00383230">
        <w:rPr>
          <w:b w:val="0"/>
        </w:rPr>
        <w:t xml:space="preserve"> an</w:t>
      </w:r>
      <w:r w:rsidR="00AD5E95">
        <w:rPr>
          <w:b w:val="0"/>
        </w:rPr>
        <w:t xml:space="preserve"> important source of food for small animals. The shrub is also used for reclamation of mined areas where adapt</w:t>
      </w:r>
      <w:r w:rsidR="006D3FD9">
        <w:rPr>
          <w:b w:val="0"/>
        </w:rPr>
        <w:t xml:space="preserve">ed. </w:t>
      </w:r>
      <w:r w:rsidR="00496441">
        <w:rPr>
          <w:b w:val="0"/>
        </w:rPr>
        <w:t xml:space="preserve">  </w:t>
      </w:r>
      <w:r w:rsidR="006D3FD9">
        <w:rPr>
          <w:b w:val="0"/>
        </w:rPr>
        <w:t>It</w:t>
      </w:r>
      <w:r w:rsidR="00AD5E95">
        <w:rPr>
          <w:b w:val="0"/>
        </w:rPr>
        <w:t xml:space="preserve"> has the potential for use as a living snow fence, roadside beautification</w:t>
      </w:r>
      <w:r w:rsidR="004A6BE7">
        <w:rPr>
          <w:b w:val="0"/>
        </w:rPr>
        <w:t>,</w:t>
      </w:r>
      <w:r w:rsidR="00AD5E95">
        <w:rPr>
          <w:b w:val="0"/>
        </w:rPr>
        <w:t xml:space="preserve"> and xeriscape plantings</w:t>
      </w:r>
      <w:r w:rsidR="0067367F">
        <w:rPr>
          <w:b w:val="0"/>
        </w:rPr>
        <w:t>.</w:t>
      </w:r>
    </w:p>
    <w:p w:rsidR="00CD49CC" w:rsidRPr="003631C1" w:rsidRDefault="00CD49CC" w:rsidP="003631C1">
      <w:pPr>
        <w:tabs>
          <w:tab w:val="left" w:pos="2430"/>
        </w:tabs>
        <w:jc w:val="left"/>
        <w:rPr>
          <w:sz w:val="20"/>
        </w:rPr>
      </w:pPr>
    </w:p>
    <w:p w:rsidR="009F3107" w:rsidRDefault="009F3107" w:rsidP="00BE5356">
      <w:pPr>
        <w:pStyle w:val="Bodytext0"/>
        <w:rPr>
          <w:b/>
        </w:rPr>
      </w:pPr>
    </w:p>
    <w:p w:rsidR="0067367F" w:rsidRDefault="00CD49CC" w:rsidP="00BE5356">
      <w:pPr>
        <w:pStyle w:val="Bodytext0"/>
        <w:rPr>
          <w:b/>
        </w:rPr>
      </w:pPr>
      <w:r w:rsidRPr="0067367F">
        <w:rPr>
          <w:b/>
        </w:rPr>
        <w:lastRenderedPageBreak/>
        <w:t>Status</w:t>
      </w:r>
    </w:p>
    <w:p w:rsidR="00CE2381" w:rsidRPr="00CE2381" w:rsidRDefault="00CE2381" w:rsidP="00BE5356">
      <w:pPr>
        <w:pStyle w:val="Bodytext0"/>
      </w:pPr>
      <w:r>
        <w:t>Please consult the PLANTS Web site and your state Department of Natural Resources for this plant’s current status (e.g. threatened or endangered species, state noxious status, and wetland indicator values).</w:t>
      </w:r>
    </w:p>
    <w:p w:rsidR="00CE2381" w:rsidRPr="0067367F" w:rsidRDefault="00CE2381" w:rsidP="00BE5356">
      <w:pPr>
        <w:pStyle w:val="Bodytext0"/>
        <w:rPr>
          <w:b/>
        </w:rPr>
      </w:pPr>
    </w:p>
    <w:p w:rsidR="00437F11" w:rsidRDefault="00CD49CC" w:rsidP="00CE2381">
      <w:pPr>
        <w:pStyle w:val="Bodytext0"/>
        <w:rPr>
          <w:b/>
        </w:rPr>
      </w:pPr>
      <w:r w:rsidRPr="00CE2381">
        <w:rPr>
          <w:b/>
        </w:rPr>
        <w:t>Description</w:t>
      </w:r>
      <w:r w:rsidR="0018267D" w:rsidRPr="00CE2381">
        <w:rPr>
          <w:b/>
        </w:rPr>
        <w:t xml:space="preserve"> and Adaptation</w:t>
      </w:r>
    </w:p>
    <w:p w:rsidR="002B1FEE" w:rsidRDefault="0067367F" w:rsidP="0067367F">
      <w:pPr>
        <w:pStyle w:val="Header3"/>
        <w:rPr>
          <w:b w:val="0"/>
        </w:rPr>
      </w:pPr>
      <w:r w:rsidRPr="0067367F">
        <w:rPr>
          <w:b w:val="0"/>
        </w:rPr>
        <w:t xml:space="preserve">Antelope </w:t>
      </w:r>
      <w:r>
        <w:rPr>
          <w:b w:val="0"/>
        </w:rPr>
        <w:t xml:space="preserve">bitterbrush is an important native browse shrub in the intermountain </w:t>
      </w:r>
      <w:smartTag w:uri="urn:schemas-microsoft-com:office:smarttags" w:element="place">
        <w:r>
          <w:rPr>
            <w:b w:val="0"/>
          </w:rPr>
          <w:t>Western United States</w:t>
        </w:r>
      </w:smartTag>
      <w:r>
        <w:rPr>
          <w:b w:val="0"/>
        </w:rPr>
        <w:t>. It is adapted to a wide range of soils with 8 to</w:t>
      </w:r>
      <w:r w:rsidR="00E75FC8">
        <w:rPr>
          <w:b w:val="0"/>
        </w:rPr>
        <w:t xml:space="preserve"> </w:t>
      </w:r>
      <w:r>
        <w:rPr>
          <w:b w:val="0"/>
        </w:rPr>
        <w:t>34 inches of annual precipitation and occurs at elevations of 4000 to 8500 feet, but has been noted at 11</w:t>
      </w:r>
      <w:r w:rsidR="00E75FC8">
        <w:rPr>
          <w:b w:val="0"/>
        </w:rPr>
        <w:t>,</w:t>
      </w:r>
      <w:r>
        <w:rPr>
          <w:b w:val="0"/>
        </w:rPr>
        <w:t xml:space="preserve">000 feet in </w:t>
      </w:r>
      <w:smartTag w:uri="urn:schemas-microsoft-com:office:smarttags" w:element="State">
        <w:smartTag w:uri="urn:schemas-microsoft-com:office:smarttags" w:element="place">
          <w:r>
            <w:rPr>
              <w:b w:val="0"/>
            </w:rPr>
            <w:t>California</w:t>
          </w:r>
        </w:smartTag>
      </w:smartTag>
      <w:r>
        <w:rPr>
          <w:b w:val="0"/>
        </w:rPr>
        <w:t>. The shrub is slow growing with a moderate to very deep root system and wide ecotypic v</w:t>
      </w:r>
      <w:r w:rsidR="0019752E">
        <w:rPr>
          <w:b w:val="0"/>
        </w:rPr>
        <w:t>ariations. It is normally 2 to 6</w:t>
      </w:r>
      <w:r>
        <w:rPr>
          <w:b w:val="0"/>
        </w:rPr>
        <w:t xml:space="preserve"> feet in height and</w:t>
      </w:r>
      <w:r w:rsidR="0019752E">
        <w:rPr>
          <w:b w:val="0"/>
        </w:rPr>
        <w:t xml:space="preserve"> up to 8 feet in</w:t>
      </w:r>
      <w:r>
        <w:rPr>
          <w:b w:val="0"/>
        </w:rPr>
        <w:t xml:space="preserve"> width with wedge shaped</w:t>
      </w:r>
      <w:r w:rsidR="00E75FC8">
        <w:rPr>
          <w:b w:val="0"/>
        </w:rPr>
        <w:t>,</w:t>
      </w:r>
      <w:r>
        <w:rPr>
          <w:b w:val="0"/>
        </w:rPr>
        <w:t xml:space="preserve"> three lobed leaves</w:t>
      </w:r>
      <w:r w:rsidR="002B1FEE">
        <w:rPr>
          <w:b w:val="0"/>
        </w:rPr>
        <w:t xml:space="preserve"> (some are persistent in winter). Branches near the soil may layer</w:t>
      </w:r>
      <w:r w:rsidR="004071A4">
        <w:rPr>
          <w:b w:val="0"/>
        </w:rPr>
        <w:t xml:space="preserve"> (branches that touch the soil develop roots)</w:t>
      </w:r>
      <w:r w:rsidR="002B1FEE">
        <w:rPr>
          <w:b w:val="0"/>
        </w:rPr>
        <w:t xml:space="preserve"> providing additional rooting for the plant. Flowering occurs in late spring to early summer with yellow to white blossoms.</w:t>
      </w:r>
    </w:p>
    <w:p w:rsidR="0067367F" w:rsidRPr="0067367F" w:rsidRDefault="002B1FEE" w:rsidP="0067367F">
      <w:pPr>
        <w:pStyle w:val="Header3"/>
        <w:rPr>
          <w:b w:val="0"/>
        </w:rPr>
      </w:pPr>
      <w:r>
        <w:rPr>
          <w:b w:val="0"/>
        </w:rPr>
        <w:t xml:space="preserve"> </w:t>
      </w:r>
      <w:r w:rsidR="0067367F">
        <w:rPr>
          <w:b w:val="0"/>
        </w:rPr>
        <w:t xml:space="preserve">  </w:t>
      </w:r>
    </w:p>
    <w:p w:rsidR="00CD49CC" w:rsidRDefault="00CD49CC" w:rsidP="003631C1">
      <w:pPr>
        <w:pStyle w:val="Header3"/>
      </w:pPr>
      <w:r>
        <w:t>Establishment</w:t>
      </w:r>
    </w:p>
    <w:p w:rsidR="00CD49CC" w:rsidRDefault="00E75FC8" w:rsidP="00FB31AA">
      <w:pPr>
        <w:pStyle w:val="Header3"/>
        <w:rPr>
          <w:b w:val="0"/>
        </w:rPr>
      </w:pPr>
      <w:r>
        <w:rPr>
          <w:b w:val="0"/>
        </w:rPr>
        <w:t>Natural establishment of antelope bitterbrush occurs in years with good seed production when rodents cach</w:t>
      </w:r>
      <w:r w:rsidR="00FE5B0C">
        <w:rPr>
          <w:b w:val="0"/>
        </w:rPr>
        <w:t>e</w:t>
      </w:r>
      <w:r w:rsidR="00CA46A6">
        <w:rPr>
          <w:b w:val="0"/>
        </w:rPr>
        <w:t xml:space="preserve"> seed and do not</w:t>
      </w:r>
      <w:r>
        <w:rPr>
          <w:b w:val="0"/>
        </w:rPr>
        <w:t xml:space="preserve"> use all of the caches. Moisture is necessary</w:t>
      </w:r>
      <w:r w:rsidR="002B1FEE" w:rsidRPr="00FB31AA">
        <w:rPr>
          <w:b w:val="0"/>
        </w:rPr>
        <w:t xml:space="preserve"> the first </w:t>
      </w:r>
      <w:r w:rsidR="000C24BB">
        <w:rPr>
          <w:b w:val="0"/>
        </w:rPr>
        <w:t>few years o</w:t>
      </w:r>
      <w:r>
        <w:rPr>
          <w:b w:val="0"/>
        </w:rPr>
        <w:t>f seedling growth for</w:t>
      </w:r>
      <w:r w:rsidR="002B1FEE" w:rsidRPr="00FB31AA">
        <w:rPr>
          <w:b w:val="0"/>
        </w:rPr>
        <w:t xml:space="preserve"> establishment. Late fal</w:t>
      </w:r>
      <w:r w:rsidR="007D5C49">
        <w:rPr>
          <w:b w:val="0"/>
        </w:rPr>
        <w:t>l or winter seeding is recommended</w:t>
      </w:r>
      <w:r w:rsidR="002B1FEE" w:rsidRPr="00FB31AA">
        <w:rPr>
          <w:b w:val="0"/>
        </w:rPr>
        <w:t xml:space="preserve"> and competition can be a problem for establishment</w:t>
      </w:r>
      <w:r w:rsidR="000C24BB">
        <w:rPr>
          <w:b w:val="0"/>
        </w:rPr>
        <w:t>.</w:t>
      </w:r>
      <w:r w:rsidR="002B1FEE" w:rsidRPr="00FB31AA">
        <w:rPr>
          <w:b w:val="0"/>
        </w:rPr>
        <w:t xml:space="preserve"> Plants sh</w:t>
      </w:r>
      <w:r>
        <w:rPr>
          <w:b w:val="0"/>
        </w:rPr>
        <w:t>ould not be used for the first four</w:t>
      </w:r>
      <w:r w:rsidR="002B1FEE" w:rsidRPr="00FB31AA">
        <w:rPr>
          <w:b w:val="0"/>
        </w:rPr>
        <w:t xml:space="preserve"> years and seedlings should be protected until </w:t>
      </w:r>
      <w:r w:rsidR="00FB31AA" w:rsidRPr="00FB31AA">
        <w:rPr>
          <w:b w:val="0"/>
        </w:rPr>
        <w:t>they are 8</w:t>
      </w:r>
      <w:r w:rsidR="006D3FD9">
        <w:rPr>
          <w:b w:val="0"/>
        </w:rPr>
        <w:t xml:space="preserve"> to</w:t>
      </w:r>
      <w:r w:rsidR="00FB31AA" w:rsidRPr="00FB31AA">
        <w:rPr>
          <w:b w:val="0"/>
        </w:rPr>
        <w:t xml:space="preserve"> 10 inches tall.</w:t>
      </w:r>
      <w:r w:rsidR="00FB31AA">
        <w:t xml:space="preserve"> </w:t>
      </w:r>
      <w:r w:rsidR="00FB31AA" w:rsidRPr="00FB31AA">
        <w:rPr>
          <w:b w:val="0"/>
        </w:rPr>
        <w:t>Rodents</w:t>
      </w:r>
      <w:r w:rsidR="00FB31AA">
        <w:t xml:space="preserve"> </w:t>
      </w:r>
      <w:r w:rsidR="00FB31AA" w:rsidRPr="00FB31AA">
        <w:rPr>
          <w:b w:val="0"/>
        </w:rPr>
        <w:t>normally cache seeds</w:t>
      </w:r>
      <w:r w:rsidR="00FB31AA">
        <w:rPr>
          <w:b w:val="0"/>
        </w:rPr>
        <w:t xml:space="preserve"> within 50 to 75 feet of an existing seed source. Suitable environmental conditions may allo</w:t>
      </w:r>
      <w:r w:rsidR="00AB2D34">
        <w:rPr>
          <w:b w:val="0"/>
        </w:rPr>
        <w:t>w natural revegetation in only one</w:t>
      </w:r>
      <w:r w:rsidR="00FB31AA">
        <w:rPr>
          <w:b w:val="0"/>
        </w:rPr>
        <w:t xml:space="preserve"> out of 20 years.</w:t>
      </w:r>
      <w:r w:rsidR="006D3FD9">
        <w:rPr>
          <w:b w:val="0"/>
        </w:rPr>
        <w:t xml:space="preserve"> Antelope bitterbrush</w:t>
      </w:r>
      <w:r w:rsidR="00FB31AA">
        <w:rPr>
          <w:b w:val="0"/>
        </w:rPr>
        <w:t xml:space="preserve"> can also be established with tubling plants. These should be planted in the spring or early summer. </w:t>
      </w:r>
    </w:p>
    <w:p w:rsidR="00FB31AA" w:rsidRPr="003631C1" w:rsidRDefault="00FB31AA" w:rsidP="00FB31AA">
      <w:pPr>
        <w:pStyle w:val="Header3"/>
      </w:pPr>
    </w:p>
    <w:p w:rsidR="00CD49CC" w:rsidRDefault="00CD49CC" w:rsidP="00F802DB">
      <w:pPr>
        <w:pStyle w:val="Header3"/>
      </w:pPr>
      <w:r>
        <w:t>Management</w:t>
      </w:r>
    </w:p>
    <w:p w:rsidR="00FB31AA" w:rsidRPr="00D46198" w:rsidRDefault="00D46198" w:rsidP="00F802DB">
      <w:pPr>
        <w:pStyle w:val="Header3"/>
        <w:rPr>
          <w:b w:val="0"/>
        </w:rPr>
      </w:pPr>
      <w:r>
        <w:rPr>
          <w:b w:val="0"/>
        </w:rPr>
        <w:t>Since a</w:t>
      </w:r>
      <w:r w:rsidR="00FB31AA" w:rsidRPr="00FB31AA">
        <w:rPr>
          <w:b w:val="0"/>
        </w:rPr>
        <w:t>ntelope bitterbrush is a very palatable</w:t>
      </w:r>
      <w:r w:rsidR="00FB31AA">
        <w:rPr>
          <w:b w:val="0"/>
        </w:rPr>
        <w:t xml:space="preserve"> s</w:t>
      </w:r>
      <w:r>
        <w:rPr>
          <w:b w:val="0"/>
        </w:rPr>
        <w:t>hrub for big game and livestock, i</w:t>
      </w:r>
      <w:r w:rsidR="00FB31AA">
        <w:rPr>
          <w:b w:val="0"/>
        </w:rPr>
        <w:t>ts</w:t>
      </w:r>
      <w:r w:rsidR="009E622E">
        <w:rPr>
          <w:b w:val="0"/>
        </w:rPr>
        <w:t xml:space="preserve"> use should be controlled</w:t>
      </w:r>
      <w:r>
        <w:rPr>
          <w:b w:val="0"/>
        </w:rPr>
        <w:t xml:space="preserve"> or</w:t>
      </w:r>
      <w:r w:rsidR="00FB31AA">
        <w:rPr>
          <w:b w:val="0"/>
        </w:rPr>
        <w:t xml:space="preserve"> it can</w:t>
      </w:r>
      <w:r>
        <w:rPr>
          <w:b w:val="0"/>
        </w:rPr>
        <w:t xml:space="preserve"> be easily</w:t>
      </w:r>
      <w:r w:rsidR="00FB31AA">
        <w:rPr>
          <w:b w:val="0"/>
        </w:rPr>
        <w:t xml:space="preserve"> eliminated</w:t>
      </w:r>
      <w:r w:rsidR="00497F89">
        <w:rPr>
          <w:b w:val="0"/>
        </w:rPr>
        <w:t xml:space="preserve"> by over use. The shrub is most often used by big game in the fall, winter</w:t>
      </w:r>
      <w:r>
        <w:rPr>
          <w:b w:val="0"/>
        </w:rPr>
        <w:t>,</w:t>
      </w:r>
      <w:r w:rsidR="00497F89">
        <w:rPr>
          <w:b w:val="0"/>
        </w:rPr>
        <w:t xml:space="preserve"> or early spring when other plants are still covered by snow. Stands of bitterbrush can become decadent with no use and mature plants should be browsed for g</w:t>
      </w:r>
      <w:r w:rsidR="00383230">
        <w:rPr>
          <w:b w:val="0"/>
        </w:rPr>
        <w:t>ood forage production and vigor. H</w:t>
      </w:r>
      <w:r w:rsidR="00497F89">
        <w:rPr>
          <w:b w:val="0"/>
        </w:rPr>
        <w:t>owever</w:t>
      </w:r>
      <w:r w:rsidR="00383230">
        <w:rPr>
          <w:b w:val="0"/>
        </w:rPr>
        <w:t>,</w:t>
      </w:r>
      <w:r w:rsidR="00497F89">
        <w:rPr>
          <w:b w:val="0"/>
        </w:rPr>
        <w:t xml:space="preserve"> no more than 50 to</w:t>
      </w:r>
      <w:r w:rsidR="000C24BB">
        <w:rPr>
          <w:b w:val="0"/>
        </w:rPr>
        <w:t xml:space="preserve"> </w:t>
      </w:r>
      <w:r w:rsidR="00497F89">
        <w:rPr>
          <w:b w:val="0"/>
        </w:rPr>
        <w:t>60 percent of current annual growth should be r</w:t>
      </w:r>
      <w:r w:rsidR="00383230">
        <w:rPr>
          <w:b w:val="0"/>
        </w:rPr>
        <w:t>emoved. The literature indicates</w:t>
      </w:r>
      <w:r w:rsidR="00497F89">
        <w:rPr>
          <w:b w:val="0"/>
        </w:rPr>
        <w:t xml:space="preserve"> that bitterbrush is not a fire resistant shrub, but is fire dependent and light to moderate fires may enhance stands.</w:t>
      </w:r>
    </w:p>
    <w:p w:rsidR="00CD49CC" w:rsidRPr="003631C1" w:rsidRDefault="00CD49CC" w:rsidP="003631C1">
      <w:pPr>
        <w:tabs>
          <w:tab w:val="left" w:pos="2430"/>
        </w:tabs>
        <w:jc w:val="both"/>
        <w:rPr>
          <w:sz w:val="20"/>
        </w:rPr>
      </w:pPr>
    </w:p>
    <w:p w:rsidR="00CD49CC" w:rsidRDefault="00CD49CC" w:rsidP="00F802DB">
      <w:pPr>
        <w:pStyle w:val="Header3"/>
      </w:pPr>
      <w:r>
        <w:lastRenderedPageBreak/>
        <w:t>Pests and Potential Problems</w:t>
      </w:r>
    </w:p>
    <w:p w:rsidR="00497F89" w:rsidRPr="00497F89" w:rsidRDefault="00497F89" w:rsidP="00F802DB">
      <w:pPr>
        <w:pStyle w:val="Header3"/>
        <w:rPr>
          <w:b w:val="0"/>
        </w:rPr>
      </w:pPr>
      <w:r>
        <w:rPr>
          <w:b w:val="0"/>
        </w:rPr>
        <w:t>Many species of insects and mites in</w:t>
      </w:r>
      <w:r w:rsidR="00694168">
        <w:rPr>
          <w:b w:val="0"/>
        </w:rPr>
        <w:t>habit antelope bitterbrush, several</w:t>
      </w:r>
      <w:r>
        <w:rPr>
          <w:b w:val="0"/>
        </w:rPr>
        <w:t xml:space="preserve"> of these are beneficial. It should be noted that bitterbrush is insect pollinated.  Insects that cause problems include defoliators such as mountain mahogany l</w:t>
      </w:r>
      <w:r w:rsidR="00D70376">
        <w:rPr>
          <w:b w:val="0"/>
        </w:rPr>
        <w:t>oper and Western tussock moth. Some of the n</w:t>
      </w:r>
      <w:r>
        <w:rPr>
          <w:b w:val="0"/>
        </w:rPr>
        <w:t>oted seed insects are bitterbrush seed midge, Say’s stinkbug, dark bitterbrush leaf tier, white collared leaf tier</w:t>
      </w:r>
      <w:r w:rsidR="00D46198">
        <w:rPr>
          <w:b w:val="0"/>
        </w:rPr>
        <w:t>,</w:t>
      </w:r>
      <w:r>
        <w:rPr>
          <w:b w:val="0"/>
        </w:rPr>
        <w:t xml:space="preserve"> and flower thrips. Large numbers of seedlings and small plants have been destroyed by cutworms and false wireworms. Diseases associated with bitterbrush include root rot, root and stem</w:t>
      </w:r>
      <w:r w:rsidR="000700BB">
        <w:rPr>
          <w:b w:val="0"/>
        </w:rPr>
        <w:t xml:space="preserve"> wilt</w:t>
      </w:r>
      <w:r w:rsidR="00D46198">
        <w:rPr>
          <w:b w:val="0"/>
        </w:rPr>
        <w:t>,</w:t>
      </w:r>
      <w:r w:rsidR="000700BB">
        <w:rPr>
          <w:b w:val="0"/>
        </w:rPr>
        <w:t xml:space="preserve"> and root-stem canker. Seedlings have been damaged by damping off</w:t>
      </w:r>
      <w:r w:rsidR="00A16F2E">
        <w:rPr>
          <w:b w:val="0"/>
        </w:rPr>
        <w:t xml:space="preserve"> (a disease caused by fungi)</w:t>
      </w:r>
      <w:r w:rsidR="000700BB">
        <w:rPr>
          <w:b w:val="0"/>
        </w:rPr>
        <w:t>.</w:t>
      </w:r>
    </w:p>
    <w:p w:rsidR="00CD49CC" w:rsidRDefault="00CD49CC" w:rsidP="00F802DB">
      <w:pPr>
        <w:pStyle w:val="Bodytext0"/>
      </w:pPr>
    </w:p>
    <w:p w:rsidR="00CD49CC" w:rsidRDefault="00CD49CC" w:rsidP="00F802DB">
      <w:pPr>
        <w:pStyle w:val="Header3"/>
      </w:pPr>
      <w:r>
        <w:t>Environmental Concerns</w:t>
      </w:r>
    </w:p>
    <w:p w:rsidR="000700BB" w:rsidRPr="000700BB" w:rsidRDefault="000700BB" w:rsidP="00F802DB">
      <w:pPr>
        <w:pStyle w:val="Header3"/>
        <w:rPr>
          <w:b w:val="0"/>
        </w:rPr>
      </w:pPr>
      <w:r>
        <w:rPr>
          <w:b w:val="0"/>
        </w:rPr>
        <w:t>There are no known environmental concerns associated with</w:t>
      </w:r>
      <w:r w:rsidR="00D46198">
        <w:rPr>
          <w:b w:val="0"/>
        </w:rPr>
        <w:t xml:space="preserve"> antelope</w:t>
      </w:r>
      <w:r>
        <w:rPr>
          <w:b w:val="0"/>
        </w:rPr>
        <w:t xml:space="preserve"> bitterbrush.</w:t>
      </w:r>
    </w:p>
    <w:p w:rsidR="00CD49CC" w:rsidRPr="003631C1" w:rsidRDefault="00CD49CC" w:rsidP="003631C1">
      <w:pPr>
        <w:tabs>
          <w:tab w:val="left" w:pos="2430"/>
        </w:tabs>
        <w:jc w:val="both"/>
        <w:rPr>
          <w:sz w:val="20"/>
        </w:rPr>
      </w:pPr>
    </w:p>
    <w:p w:rsidR="00CD49CC" w:rsidRDefault="00CD49CC" w:rsidP="00F802DB">
      <w:pPr>
        <w:pStyle w:val="Header3"/>
      </w:pPr>
      <w:r>
        <w:t>Cultivars, Improved, and Selected Materials (and area of origin)</w:t>
      </w:r>
    </w:p>
    <w:p w:rsidR="00D70376" w:rsidRDefault="00D46198" w:rsidP="00076DBB">
      <w:pPr>
        <w:pStyle w:val="Header3"/>
        <w:rPr>
          <w:b w:val="0"/>
        </w:rPr>
      </w:pPr>
      <w:r>
        <w:rPr>
          <w:b w:val="0"/>
        </w:rPr>
        <w:t>‘</w:t>
      </w:r>
      <w:r w:rsidR="000700BB">
        <w:rPr>
          <w:b w:val="0"/>
        </w:rPr>
        <w:t>Lassen’ is a cultivar of antelope bitterbrush released</w:t>
      </w:r>
      <w:r w:rsidR="00AA44F9">
        <w:rPr>
          <w:b w:val="0"/>
        </w:rPr>
        <w:t xml:space="preserve"> in 1984 </w:t>
      </w:r>
      <w:r w:rsidR="000700BB">
        <w:rPr>
          <w:b w:val="0"/>
        </w:rPr>
        <w:t>by USDA Forest Service, Shrub Sciences Laboratory,</w:t>
      </w:r>
      <w:r w:rsidR="00190049">
        <w:rPr>
          <w:b w:val="0"/>
        </w:rPr>
        <w:t xml:space="preserve"> </w:t>
      </w:r>
      <w:smartTag w:uri="urn:schemas-microsoft-com:office:smarttags" w:element="City">
        <w:r w:rsidR="00190049">
          <w:rPr>
            <w:b w:val="0"/>
          </w:rPr>
          <w:t>Provo</w:t>
        </w:r>
      </w:smartTag>
      <w:r w:rsidR="00190049">
        <w:rPr>
          <w:b w:val="0"/>
        </w:rPr>
        <w:t xml:space="preserve">, </w:t>
      </w:r>
      <w:smartTag w:uri="urn:schemas-microsoft-com:office:smarttags" w:element="State">
        <w:r w:rsidR="00190049">
          <w:rPr>
            <w:b w:val="0"/>
          </w:rPr>
          <w:t>Utah</w:t>
        </w:r>
      </w:smartTag>
      <w:r w:rsidR="00190049">
        <w:rPr>
          <w:b w:val="0"/>
        </w:rPr>
        <w:t>,</w:t>
      </w:r>
      <w:r w:rsidR="000700BB">
        <w:rPr>
          <w:b w:val="0"/>
        </w:rPr>
        <w:t xml:space="preserve"> Soil Conservation Service and Utah Division of Wildlife Resources</w:t>
      </w:r>
      <w:r w:rsidR="00190049">
        <w:rPr>
          <w:b w:val="0"/>
        </w:rPr>
        <w:t xml:space="preserve">, </w:t>
      </w:r>
      <w:smartTag w:uri="urn:schemas-microsoft-com:office:smarttags" w:element="place">
        <w:smartTag w:uri="urn:schemas-microsoft-com:office:smarttags" w:element="City">
          <w:r w:rsidR="00190049">
            <w:rPr>
              <w:b w:val="0"/>
            </w:rPr>
            <w:t>Ephraim</w:t>
          </w:r>
        </w:smartTag>
        <w:r w:rsidR="00190049">
          <w:rPr>
            <w:b w:val="0"/>
          </w:rPr>
          <w:t xml:space="preserve">, </w:t>
        </w:r>
        <w:smartTag w:uri="urn:schemas-microsoft-com:office:smarttags" w:element="State">
          <w:r w:rsidR="00190049">
            <w:rPr>
              <w:b w:val="0"/>
            </w:rPr>
            <w:t>Utah</w:t>
          </w:r>
        </w:smartTag>
      </w:smartTag>
      <w:r w:rsidR="000700BB">
        <w:rPr>
          <w:b w:val="0"/>
        </w:rPr>
        <w:t xml:space="preserve">. Seven other agencies in </w:t>
      </w:r>
      <w:smartTag w:uri="urn:schemas-microsoft-com:office:smarttags" w:element="State">
        <w:r w:rsidR="000700BB">
          <w:rPr>
            <w:b w:val="0"/>
          </w:rPr>
          <w:t>California</w:t>
        </w:r>
      </w:smartTag>
      <w:r w:rsidR="000700BB">
        <w:rPr>
          <w:b w:val="0"/>
        </w:rPr>
        <w:t xml:space="preserve">, </w:t>
      </w:r>
      <w:smartTag w:uri="urn:schemas-microsoft-com:office:smarttags" w:element="State">
        <w:r w:rsidR="000700BB">
          <w:rPr>
            <w:b w:val="0"/>
          </w:rPr>
          <w:t>Idaho</w:t>
        </w:r>
      </w:smartTag>
      <w:r w:rsidR="000700BB">
        <w:rPr>
          <w:b w:val="0"/>
        </w:rPr>
        <w:t xml:space="preserve">, </w:t>
      </w:r>
      <w:smartTag w:uri="urn:schemas-microsoft-com:office:smarttags" w:element="State">
        <w:r w:rsidR="000700BB">
          <w:rPr>
            <w:b w:val="0"/>
          </w:rPr>
          <w:t>Nevada</w:t>
        </w:r>
      </w:smartTag>
      <w:r w:rsidR="00F7553C">
        <w:rPr>
          <w:b w:val="0"/>
        </w:rPr>
        <w:t>,</w:t>
      </w:r>
      <w:r w:rsidR="000700BB">
        <w:rPr>
          <w:b w:val="0"/>
        </w:rPr>
        <w:t xml:space="preserve"> and </w:t>
      </w:r>
      <w:smartTag w:uri="urn:schemas-microsoft-com:office:smarttags" w:element="State">
        <w:smartTag w:uri="urn:schemas-microsoft-com:office:smarttags" w:element="place">
          <w:r w:rsidR="000700BB">
            <w:rPr>
              <w:b w:val="0"/>
            </w:rPr>
            <w:t>Oregon</w:t>
          </w:r>
        </w:smartTag>
      </w:smartTag>
      <w:r w:rsidR="000700BB">
        <w:rPr>
          <w:b w:val="0"/>
        </w:rPr>
        <w:t xml:space="preserve"> cooperated. Its or</w:t>
      </w:r>
      <w:r w:rsidR="00C45A9F">
        <w:rPr>
          <w:b w:val="0"/>
        </w:rPr>
        <w:t>i</w:t>
      </w:r>
      <w:r w:rsidR="000700BB">
        <w:rPr>
          <w:b w:val="0"/>
        </w:rPr>
        <w:t xml:space="preserve">gin is near </w:t>
      </w:r>
      <w:smartTag w:uri="urn:schemas-microsoft-com:office:smarttags" w:element="City">
        <w:r w:rsidR="000700BB">
          <w:rPr>
            <w:b w:val="0"/>
          </w:rPr>
          <w:t>Janesville</w:t>
        </w:r>
      </w:smartTag>
      <w:r w:rsidR="000700BB">
        <w:rPr>
          <w:b w:val="0"/>
        </w:rPr>
        <w:t xml:space="preserve"> in </w:t>
      </w:r>
      <w:smartTag w:uri="urn:schemas-microsoft-com:office:smarttags" w:element="place">
        <w:smartTag w:uri="urn:schemas-microsoft-com:office:smarttags" w:element="City">
          <w:r w:rsidR="000700BB">
            <w:rPr>
              <w:b w:val="0"/>
            </w:rPr>
            <w:t>Lassen County</w:t>
          </w:r>
        </w:smartTag>
        <w:r w:rsidR="000700BB">
          <w:rPr>
            <w:b w:val="0"/>
          </w:rPr>
          <w:t xml:space="preserve">, </w:t>
        </w:r>
        <w:smartTag w:uri="urn:schemas-microsoft-com:office:smarttags" w:element="State">
          <w:r w:rsidR="000700BB">
            <w:rPr>
              <w:b w:val="0"/>
            </w:rPr>
            <w:t>California</w:t>
          </w:r>
        </w:smartTag>
      </w:smartTag>
      <w:r w:rsidR="000700BB">
        <w:rPr>
          <w:b w:val="0"/>
        </w:rPr>
        <w:t>.</w:t>
      </w:r>
    </w:p>
    <w:p w:rsidR="00004352" w:rsidRDefault="00004352" w:rsidP="00076DBB">
      <w:pPr>
        <w:pStyle w:val="Header3"/>
        <w:rPr>
          <w:b w:val="0"/>
        </w:rPr>
      </w:pPr>
    </w:p>
    <w:p w:rsidR="00004352" w:rsidRDefault="00004352" w:rsidP="00076DBB">
      <w:pPr>
        <w:pStyle w:val="Header3"/>
        <w:rPr>
          <w:b w:val="0"/>
        </w:rPr>
      </w:pPr>
      <w:r>
        <w:rPr>
          <w:b w:val="0"/>
        </w:rPr>
        <w:t>Fou</w:t>
      </w:r>
      <w:r w:rsidR="00AB2D34">
        <w:rPr>
          <w:b w:val="0"/>
        </w:rPr>
        <w:t xml:space="preserve">ntain Green germplasm </w:t>
      </w:r>
      <w:r w:rsidR="00190049">
        <w:rPr>
          <w:b w:val="0"/>
        </w:rPr>
        <w:t>is</w:t>
      </w:r>
      <w:r w:rsidR="00AB2D34">
        <w:rPr>
          <w:b w:val="0"/>
        </w:rPr>
        <w:t xml:space="preserve"> a source identified release</w:t>
      </w:r>
      <w:r>
        <w:rPr>
          <w:b w:val="0"/>
        </w:rPr>
        <w:t xml:space="preserve"> of antelope bitterbrush</w:t>
      </w:r>
      <w:r w:rsidR="00AB2D34">
        <w:rPr>
          <w:b w:val="0"/>
        </w:rPr>
        <w:t>. It was</w:t>
      </w:r>
      <w:r>
        <w:rPr>
          <w:b w:val="0"/>
        </w:rPr>
        <w:t xml:space="preserve"> released in 1990 by the USDA Forest Service</w:t>
      </w:r>
      <w:r w:rsidR="00590313">
        <w:rPr>
          <w:b w:val="0"/>
        </w:rPr>
        <w:t>,</w:t>
      </w:r>
      <w:r>
        <w:rPr>
          <w:b w:val="0"/>
        </w:rPr>
        <w:t xml:space="preserve"> Shrub Sciences Laboratory, </w:t>
      </w:r>
      <w:smartTag w:uri="urn:schemas-microsoft-com:office:smarttags" w:element="City">
        <w:r>
          <w:rPr>
            <w:b w:val="0"/>
          </w:rPr>
          <w:t>Provo</w:t>
        </w:r>
      </w:smartTag>
      <w:r>
        <w:rPr>
          <w:b w:val="0"/>
        </w:rPr>
        <w:t xml:space="preserve">, </w:t>
      </w:r>
      <w:smartTag w:uri="urn:schemas-microsoft-com:office:smarttags" w:element="State">
        <w:r>
          <w:rPr>
            <w:b w:val="0"/>
          </w:rPr>
          <w:t>Utah</w:t>
        </w:r>
      </w:smartTag>
      <w:r>
        <w:rPr>
          <w:b w:val="0"/>
        </w:rPr>
        <w:t>, and the Utah Divisio</w:t>
      </w:r>
      <w:r w:rsidR="00190049">
        <w:rPr>
          <w:b w:val="0"/>
        </w:rPr>
        <w:t xml:space="preserve">n of Wildlife Resources, </w:t>
      </w:r>
      <w:smartTag w:uri="urn:schemas-microsoft-com:office:smarttags" w:element="place">
        <w:smartTag w:uri="urn:schemas-microsoft-com:office:smarttags" w:element="City">
          <w:r w:rsidR="00190049">
            <w:rPr>
              <w:b w:val="0"/>
            </w:rPr>
            <w:t>Ephraim</w:t>
          </w:r>
        </w:smartTag>
        <w:r>
          <w:rPr>
            <w:b w:val="0"/>
          </w:rPr>
          <w:t xml:space="preserve">, </w:t>
        </w:r>
        <w:smartTag w:uri="urn:schemas-microsoft-com:office:smarttags" w:element="State">
          <w:r>
            <w:rPr>
              <w:b w:val="0"/>
            </w:rPr>
            <w:t>Utah</w:t>
          </w:r>
        </w:smartTag>
      </w:smartTag>
      <w:r>
        <w:rPr>
          <w:b w:val="0"/>
        </w:rPr>
        <w:t xml:space="preserve">. Its origin is North of Fountain Green, </w:t>
      </w:r>
      <w:smartTag w:uri="urn:schemas-microsoft-com:office:smarttags" w:element="State">
        <w:smartTag w:uri="urn:schemas-microsoft-com:office:smarttags" w:element="place">
          <w:r>
            <w:rPr>
              <w:b w:val="0"/>
            </w:rPr>
            <w:t>Utah</w:t>
          </w:r>
        </w:smartTag>
      </w:smartTag>
      <w:r>
        <w:rPr>
          <w:b w:val="0"/>
        </w:rPr>
        <w:t>.</w:t>
      </w:r>
    </w:p>
    <w:p w:rsidR="009A366C" w:rsidRDefault="009A366C" w:rsidP="00076DBB">
      <w:pPr>
        <w:pStyle w:val="Header3"/>
        <w:rPr>
          <w:b w:val="0"/>
        </w:rPr>
      </w:pPr>
    </w:p>
    <w:p w:rsidR="009A366C" w:rsidRDefault="000700BB" w:rsidP="00076DBB">
      <w:pPr>
        <w:pStyle w:val="Header3"/>
        <w:rPr>
          <w:b w:val="0"/>
        </w:rPr>
      </w:pPr>
      <w:r>
        <w:rPr>
          <w:b w:val="0"/>
        </w:rPr>
        <w:t>Maybell germplasm was released in</w:t>
      </w:r>
      <w:r w:rsidR="00AA44F9">
        <w:rPr>
          <w:b w:val="0"/>
        </w:rPr>
        <w:t xml:space="preserve"> 1997 as</w:t>
      </w:r>
      <w:r w:rsidR="00383230">
        <w:rPr>
          <w:b w:val="0"/>
        </w:rPr>
        <w:t xml:space="preserve"> a selected class release by</w:t>
      </w:r>
      <w:r w:rsidR="00AA44F9">
        <w:rPr>
          <w:b w:val="0"/>
        </w:rPr>
        <w:t xml:space="preserve"> </w:t>
      </w:r>
      <w:smartTag w:uri="urn:schemas-microsoft-com:office:smarttags" w:element="place">
        <w:smartTag w:uri="urn:schemas-microsoft-com:office:smarttags" w:element="PlaceName">
          <w:r w:rsidR="00AA44F9">
            <w:rPr>
              <w:b w:val="0"/>
            </w:rPr>
            <w:t>Upper</w:t>
          </w:r>
        </w:smartTag>
        <w:r w:rsidR="00AA44F9">
          <w:rPr>
            <w:b w:val="0"/>
          </w:rPr>
          <w:t xml:space="preserve"> </w:t>
        </w:r>
        <w:smartTag w:uri="urn:schemas-microsoft-com:office:smarttags" w:element="PlaceName">
          <w:r w:rsidR="00AA44F9">
            <w:rPr>
              <w:b w:val="0"/>
            </w:rPr>
            <w:t>Colorado</w:t>
          </w:r>
        </w:smartTag>
        <w:r w:rsidR="00AA44F9">
          <w:rPr>
            <w:b w:val="0"/>
          </w:rPr>
          <w:t xml:space="preserve"> </w:t>
        </w:r>
        <w:smartTag w:uri="urn:schemas-microsoft-com:office:smarttags" w:element="PlaceName">
          <w:r w:rsidR="00AA44F9">
            <w:rPr>
              <w:b w:val="0"/>
            </w:rPr>
            <w:t>Environmental</w:t>
          </w:r>
        </w:smartTag>
        <w:r w:rsidR="00AA44F9">
          <w:rPr>
            <w:b w:val="0"/>
          </w:rPr>
          <w:t xml:space="preserve"> </w:t>
        </w:r>
        <w:smartTag w:uri="urn:schemas-microsoft-com:office:smarttags" w:element="PlaceName">
          <w:r w:rsidR="00AA44F9">
            <w:rPr>
              <w:b w:val="0"/>
            </w:rPr>
            <w:t>Plant</w:t>
          </w:r>
        </w:smartTag>
        <w:r w:rsidR="00AA44F9">
          <w:rPr>
            <w:b w:val="0"/>
          </w:rPr>
          <w:t xml:space="preserve"> </w:t>
        </w:r>
        <w:smartTag w:uri="urn:schemas-microsoft-com:office:smarttags" w:element="PlaceType">
          <w:r w:rsidR="00AA44F9">
            <w:rPr>
              <w:b w:val="0"/>
            </w:rPr>
            <w:t>Center</w:t>
          </w:r>
        </w:smartTag>
      </w:smartTag>
      <w:r w:rsidR="00AA44F9">
        <w:rPr>
          <w:b w:val="0"/>
        </w:rPr>
        <w:t>. Five other agencies participated in the relea</w:t>
      </w:r>
      <w:r w:rsidR="00383230">
        <w:rPr>
          <w:b w:val="0"/>
        </w:rPr>
        <w:t>se.  Maybell’s or</w:t>
      </w:r>
      <w:r w:rsidR="00C45A9F">
        <w:rPr>
          <w:b w:val="0"/>
        </w:rPr>
        <w:t>i</w:t>
      </w:r>
      <w:r w:rsidR="00383230">
        <w:rPr>
          <w:b w:val="0"/>
        </w:rPr>
        <w:t xml:space="preserve">gin is </w:t>
      </w:r>
      <w:smartTag w:uri="urn:schemas-microsoft-com:office:smarttags" w:element="PlaceName">
        <w:r w:rsidR="00383230">
          <w:rPr>
            <w:b w:val="0"/>
          </w:rPr>
          <w:t>Moffat</w:t>
        </w:r>
      </w:smartTag>
      <w:r w:rsidR="00383230">
        <w:rPr>
          <w:b w:val="0"/>
        </w:rPr>
        <w:t xml:space="preserve"> </w:t>
      </w:r>
      <w:smartTag w:uri="urn:schemas-microsoft-com:office:smarttags" w:element="PlaceType">
        <w:r w:rsidR="00383230">
          <w:rPr>
            <w:b w:val="0"/>
          </w:rPr>
          <w:t>C</w:t>
        </w:r>
        <w:r w:rsidR="00AA44F9">
          <w:rPr>
            <w:b w:val="0"/>
          </w:rPr>
          <w:t>ounty</w:t>
        </w:r>
      </w:smartTag>
      <w:r w:rsidR="006346ED">
        <w:rPr>
          <w:b w:val="0"/>
        </w:rPr>
        <w:t xml:space="preserve"> in </w:t>
      </w:r>
      <w:r w:rsidR="002E0A2C">
        <w:rPr>
          <w:b w:val="0"/>
        </w:rPr>
        <w:t>N</w:t>
      </w:r>
      <w:r w:rsidR="006346ED">
        <w:rPr>
          <w:b w:val="0"/>
        </w:rPr>
        <w:t xml:space="preserve">orthwest </w:t>
      </w:r>
      <w:r w:rsidR="00AA44F9">
        <w:rPr>
          <w:b w:val="0"/>
        </w:rPr>
        <w:t xml:space="preserve">Colorado, near the town of </w:t>
      </w:r>
      <w:smartTag w:uri="urn:schemas-microsoft-com:office:smarttags" w:element="City">
        <w:smartTag w:uri="urn:schemas-microsoft-com:office:smarttags" w:element="place">
          <w:r w:rsidR="00AA44F9">
            <w:rPr>
              <w:b w:val="0"/>
            </w:rPr>
            <w:t>Maybell</w:t>
          </w:r>
        </w:smartTag>
      </w:smartTag>
      <w:r w:rsidR="00AA44F9">
        <w:rPr>
          <w:b w:val="0"/>
        </w:rPr>
        <w:t>.</w:t>
      </w:r>
      <w:r>
        <w:rPr>
          <w:b w:val="0"/>
        </w:rPr>
        <w:t xml:space="preserve"> </w:t>
      </w:r>
    </w:p>
    <w:p w:rsidR="009A366C" w:rsidRDefault="009A366C" w:rsidP="00F802DB">
      <w:pPr>
        <w:pStyle w:val="Header3"/>
      </w:pPr>
    </w:p>
    <w:p w:rsidR="00AA44F9" w:rsidRDefault="00AB2D34" w:rsidP="00F802DB">
      <w:pPr>
        <w:pStyle w:val="Header3"/>
      </w:pPr>
      <w:r>
        <w:t>Prepared By and</w:t>
      </w:r>
      <w:r w:rsidRPr="00AB2D34">
        <w:t xml:space="preserve"> </w:t>
      </w:r>
      <w:r>
        <w:t>Species Coordinator</w:t>
      </w:r>
    </w:p>
    <w:p w:rsidR="00CD49CC" w:rsidRPr="00747A59" w:rsidRDefault="00AA44F9" w:rsidP="00F802DB">
      <w:pPr>
        <w:pStyle w:val="Header3"/>
        <w:rPr>
          <w:b w:val="0"/>
        </w:rPr>
      </w:pPr>
      <w:r w:rsidRPr="00747A59">
        <w:rPr>
          <w:b w:val="0"/>
          <w:i/>
        </w:rPr>
        <w:t>Gary L. Noller</w:t>
      </w:r>
      <w:r w:rsidR="00C457C2">
        <w:rPr>
          <w:b w:val="0"/>
          <w:i/>
        </w:rPr>
        <w:t>, Ph.D.</w:t>
      </w:r>
      <w:r w:rsidR="002567DA" w:rsidRPr="00496441">
        <w:rPr>
          <w:b w:val="0"/>
        </w:rPr>
        <w:t xml:space="preserve">, </w:t>
      </w:r>
      <w:r w:rsidR="00747A59" w:rsidRPr="00496441">
        <w:rPr>
          <w:b w:val="0"/>
        </w:rPr>
        <w:t>Plant Materials C</w:t>
      </w:r>
      <w:r w:rsidR="001C6609" w:rsidRPr="00496441">
        <w:rPr>
          <w:b w:val="0"/>
        </w:rPr>
        <w:t>onsu</w:t>
      </w:r>
      <w:r w:rsidRPr="00496441">
        <w:rPr>
          <w:b w:val="0"/>
        </w:rPr>
        <w:t>ltant</w:t>
      </w:r>
    </w:p>
    <w:p w:rsidR="00BE5356" w:rsidRDefault="001C6609" w:rsidP="003631C1">
      <w:pPr>
        <w:jc w:val="left"/>
        <w:rPr>
          <w:sz w:val="20"/>
        </w:rPr>
      </w:pPr>
      <w:r>
        <w:rPr>
          <w:sz w:val="20"/>
        </w:rPr>
        <w:t xml:space="preserve">Upper Colorado Environmental </w:t>
      </w:r>
      <w:smartTag w:uri="urn:schemas-microsoft-com:office:smarttags" w:element="place">
        <w:smartTag w:uri="urn:schemas-microsoft-com:office:smarttags" w:element="PlaceName">
          <w:r>
            <w:rPr>
              <w:sz w:val="20"/>
            </w:rPr>
            <w:t>Plant</w:t>
          </w:r>
        </w:smartTag>
        <w:r>
          <w:rPr>
            <w:sz w:val="20"/>
          </w:rPr>
          <w:t xml:space="preserve"> </w:t>
        </w:r>
        <w:smartTag w:uri="urn:schemas-microsoft-com:office:smarttags" w:element="PlaceType">
          <w:r>
            <w:rPr>
              <w:sz w:val="20"/>
            </w:rPr>
            <w:t>Center</w:t>
          </w:r>
        </w:smartTag>
      </w:smartTag>
    </w:p>
    <w:p w:rsidR="00747A59" w:rsidRDefault="00747A59" w:rsidP="003631C1">
      <w:pPr>
        <w:jc w:val="left"/>
        <w:rPr>
          <w:sz w:val="20"/>
        </w:rPr>
      </w:pPr>
      <w:r>
        <w:rPr>
          <w:sz w:val="20"/>
        </w:rPr>
        <w:t xml:space="preserve">Meeker, </w:t>
      </w:r>
      <w:smartTag w:uri="urn:schemas-microsoft-com:office:smarttags" w:element="State">
        <w:smartTag w:uri="urn:schemas-microsoft-com:office:smarttags" w:element="place">
          <w:r>
            <w:rPr>
              <w:sz w:val="20"/>
            </w:rPr>
            <w:t>Colorado</w:t>
          </w:r>
        </w:smartTag>
      </w:smartTag>
    </w:p>
    <w:p w:rsidR="001C6609" w:rsidRDefault="001C6609" w:rsidP="00F802DB">
      <w:pPr>
        <w:pStyle w:val="Header3"/>
      </w:pPr>
    </w:p>
    <w:p w:rsidR="00CD49CC" w:rsidRDefault="0018267D" w:rsidP="00BE5356">
      <w:pPr>
        <w:pStyle w:val="Header4"/>
      </w:pPr>
      <w:r>
        <w:t xml:space="preserve">Edited: </w:t>
      </w:r>
      <w:r w:rsidR="00496441">
        <w:t>070814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CD0B30" w:rsidRDefault="00CD0B30" w:rsidP="006C47E2">
      <w:pPr>
        <w:pStyle w:val="NormalWeb"/>
      </w:pPr>
      <w:r w:rsidRPr="00CD0B30">
        <w:rPr>
          <w:rStyle w:val="Hyperlink"/>
          <w:rFonts w:ascii="Times New Roman" w:hAnsi="Times New Roman"/>
          <w:i/>
          <w:sz w:val="16"/>
          <w:szCs w:val="16"/>
          <w:u w:val="none"/>
        </w:rPr>
        <w:lastRenderedPageBreak/>
        <w:t xml:space="preserve">The U.S. Department of Agriculture (USDA) prohibits discrimination in all its programs and activities on the basis of race, color, national origin, age, disability, and where applicable, sex, marital status, familial status, parental status, religion, sexual orientation, genetic information, political beliefs, reprisal, or because all or a part of an individual's income is derived from any public assistance program. (Not all prohibited bases apply to all programs.) Persons with disabilities who require alternative means for communication of program information (Braille, large print, audiotape, etc.) should contact USDA's </w:t>
      </w:r>
      <w:smartTag w:uri="urn:schemas-microsoft-com:office:smarttags" w:element="place">
        <w:smartTag w:uri="urn:schemas-microsoft-com:office:smarttags" w:element="PlaceName">
          <w:r w:rsidRPr="00CD0B30">
            <w:rPr>
              <w:rStyle w:val="Hyperlink"/>
              <w:rFonts w:ascii="Times New Roman" w:hAnsi="Times New Roman"/>
              <w:i/>
              <w:sz w:val="16"/>
              <w:szCs w:val="16"/>
              <w:u w:val="none"/>
            </w:rPr>
            <w:t>TARGET</w:t>
          </w:r>
        </w:smartTag>
        <w:r w:rsidRPr="00CD0B30">
          <w:rPr>
            <w:rStyle w:val="Hyperlink"/>
            <w:rFonts w:ascii="Times New Roman" w:hAnsi="Times New Roman"/>
            <w:i/>
            <w:sz w:val="16"/>
            <w:szCs w:val="16"/>
            <w:u w:val="none"/>
          </w:rPr>
          <w:t xml:space="preserve"> </w:t>
        </w:r>
        <w:smartTag w:uri="urn:schemas-microsoft-com:office:smarttags" w:element="PlaceType">
          <w:r w:rsidRPr="00CD0B30">
            <w:rPr>
              <w:rStyle w:val="Hyperlink"/>
              <w:rFonts w:ascii="Times New Roman" w:hAnsi="Times New Roman"/>
              <w:i/>
              <w:sz w:val="16"/>
              <w:szCs w:val="16"/>
              <w:u w:val="none"/>
            </w:rPr>
            <w:t>Center</w:t>
          </w:r>
        </w:smartTag>
      </w:smartTag>
      <w:r w:rsidRPr="00CD0B30">
        <w:rPr>
          <w:rStyle w:val="Hyperlink"/>
          <w:rFonts w:ascii="Times New Roman" w:hAnsi="Times New Roman"/>
          <w:i/>
          <w:sz w:val="16"/>
          <w:szCs w:val="16"/>
          <w:u w:val="none"/>
        </w:rPr>
        <w:t xml:space="preserve"> at (202) 720-2600 (voice and TDD). To file a complaint of discrimination write to USDA, Director, Office of Civil Rights, 1400 Independence Avenue, S.W., Washington, D.C. 20250-9410 or call (800) 795-3272 (voice) or (202) 720-6382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1"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w:t>
        </w:r>
        <w:r w:rsidR="00612566">
          <w:rPr>
            <w:rStyle w:val="Hyperlink"/>
            <w:rFonts w:ascii="Times New Roman" w:hAnsi="Times New Roman"/>
            <w:i/>
            <w:sz w:val="16"/>
            <w:szCs w:val="16"/>
          </w:rPr>
          <w:t>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p w:rsidR="006C47E2" w:rsidRDefault="006C47E2" w:rsidP="006C47E2">
      <w:pPr>
        <w:jc w:val="left"/>
        <w:rPr>
          <w:sz w:val="20"/>
        </w:rPr>
      </w:pPr>
    </w:p>
    <w:p w:rsidR="006C47E2" w:rsidRPr="002D7A49" w:rsidRDefault="006C47E2" w:rsidP="002D7A49">
      <w:pPr>
        <w:pStyle w:val="Bodytext0"/>
      </w:pPr>
    </w:p>
    <w:p w:rsidR="00D62818" w:rsidRPr="002D7A49" w:rsidRDefault="00D62818" w:rsidP="002D7A49">
      <w:pPr>
        <w:pStyle w:val="Footer"/>
        <w:jc w:val="left"/>
        <w:rPr>
          <w:sz w:val="20"/>
        </w:rPr>
      </w:pPr>
    </w:p>
    <w:sectPr w:rsidR="00D62818" w:rsidRPr="002D7A49" w:rsidSect="00076DBB">
      <w:headerReference w:type="default" r:id="rId12"/>
      <w:footerReference w:type="default" r:id="rId13"/>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2BA9" w:rsidRDefault="00462BA9">
      <w:r>
        <w:separator/>
      </w:r>
    </w:p>
  </w:endnote>
  <w:endnote w:type="continuationSeparator" w:id="0">
    <w:p w:rsidR="00462BA9" w:rsidRDefault="00462B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6441" w:rsidRDefault="00496441" w:rsidP="00496441">
    <w:pPr>
      <w:pStyle w:val="Header"/>
      <w:jc w:val="left"/>
      <w:rPr>
        <w:sz w:val="20"/>
      </w:rPr>
    </w:pPr>
    <w:r w:rsidRPr="003749B3">
      <w:rPr>
        <w:sz w:val="20"/>
      </w:rPr>
      <w:t>Plant Materials &lt;http://plant-materials.nrcs.usda.gov/&gt;</w:t>
    </w:r>
  </w:p>
  <w:p w:rsidR="00496441" w:rsidRDefault="00496441" w:rsidP="00496441">
    <w:pPr>
      <w:pStyle w:val="Header"/>
      <w:jc w:val="left"/>
      <w:rPr>
        <w:sz w:val="20"/>
      </w:rPr>
    </w:pPr>
    <w:r w:rsidRPr="001F7210">
      <w:rPr>
        <w:sz w:val="20"/>
      </w:rPr>
      <w:t>Plant Fact Sheet/Guide Coordination Page &lt;http://plant-materials.nrcs.usda.gov/intranet/pfs.html&gt;</w:t>
    </w:r>
  </w:p>
  <w:p w:rsidR="00496441" w:rsidRPr="00496441" w:rsidRDefault="00496441" w:rsidP="00496441">
    <w:pPr>
      <w:pStyle w:val="Header"/>
      <w:jc w:val="left"/>
      <w:rPr>
        <w:sz w:val="20"/>
      </w:rPr>
    </w:pPr>
    <w:smartTag w:uri="urn:schemas-microsoft-com:office:smarttags" w:element="place">
      <w:smartTag w:uri="urn:schemas-microsoft-com:office:smarttags" w:element="PlaceName">
        <w:r w:rsidRPr="00496441">
          <w:rPr>
            <w:sz w:val="20"/>
          </w:rPr>
          <w:t>National</w:t>
        </w:r>
      </w:smartTag>
      <w:r w:rsidRPr="00496441">
        <w:rPr>
          <w:sz w:val="20"/>
        </w:rPr>
        <w:t xml:space="preserve"> </w:t>
      </w:r>
      <w:smartTag w:uri="urn:schemas-microsoft-com:office:smarttags" w:element="PlaceName">
        <w:r w:rsidRPr="00496441">
          <w:rPr>
            <w:sz w:val="20"/>
          </w:rPr>
          <w:t>Plant</w:t>
        </w:r>
      </w:smartTag>
      <w:r w:rsidRPr="00496441">
        <w:rPr>
          <w:sz w:val="20"/>
        </w:rPr>
        <w:t xml:space="preserve"> </w:t>
      </w:r>
      <w:smartTag w:uri="urn:schemas-microsoft-com:office:smarttags" w:element="PlaceName">
        <w:r w:rsidRPr="00496441">
          <w:rPr>
            <w:sz w:val="20"/>
          </w:rPr>
          <w:t>Data</w:t>
        </w:r>
      </w:smartTag>
      <w:r w:rsidRPr="00496441">
        <w:rPr>
          <w:sz w:val="20"/>
        </w:rPr>
        <w:t xml:space="preserve"> </w:t>
      </w:r>
      <w:smartTag w:uri="urn:schemas-microsoft-com:office:smarttags" w:element="PlaceType">
        <w:r w:rsidRPr="00496441">
          <w:rPr>
            <w:sz w:val="20"/>
          </w:rPr>
          <w:t>Center</w:t>
        </w:r>
      </w:smartTag>
    </w:smartTag>
    <w:r w:rsidRPr="00496441">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2BA9" w:rsidRDefault="00462BA9">
      <w:r>
        <w:separator/>
      </w:r>
    </w:p>
  </w:footnote>
  <w:footnote w:type="continuationSeparator" w:id="0">
    <w:p w:rsidR="00462BA9" w:rsidRDefault="00462B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rsidP="004F0A5F">
    <w:pPr>
      <w:pStyle w:val="Header"/>
      <w:jc w:val="both"/>
    </w:pPr>
    <w:r>
      <w:pict>
        <v:line id="_x0000_s2108" style="position:absolute;left:0;text-align:left;z-index:251657728" from="-4.95pt,36.2pt" to="472.05pt,36.2pt" strokecolor="navy" strokeweight="3pt"/>
      </w:pict>
    </w:r>
    <w:r w:rsidR="00383EE8">
      <w:rPr>
        <w:noProof/>
      </w:rPr>
      <w:drawing>
        <wp:inline distT="0" distB="0" distL="0" distR="0">
          <wp:extent cx="504825" cy="352425"/>
          <wp:effectExtent l="19050" t="0" r="9525" b="0"/>
          <wp:docPr id="2" name="Picture 2" descr="USDA2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DA2col"/>
                  <pic:cNvPicPr>
                    <a:picLocks noChangeAspect="1" noChangeArrowheads="1"/>
                  </pic:cNvPicPr>
                </pic:nvPicPr>
                <pic:blipFill>
                  <a:blip r:embed="rId1"/>
                  <a:srcRect/>
                  <a:stretch>
                    <a:fillRect/>
                  </a:stretch>
                </pic:blipFill>
                <pic:spPr bwMode="auto">
                  <a:xfrm>
                    <a:off x="0" y="0"/>
                    <a:ext cx="504825" cy="352425"/>
                  </a:xfrm>
                  <a:prstGeom prst="rect">
                    <a:avLst/>
                  </a:prstGeom>
                  <a:noFill/>
                  <a:ln w="9525">
                    <a:noFill/>
                    <a:miter lim="800000"/>
                    <a:headEnd/>
                    <a:tailEnd/>
                  </a:ln>
                </pic:spPr>
              </pic:pic>
            </a:graphicData>
          </a:graphic>
        </wp:inline>
      </w:drawing>
    </w:r>
    <w:r>
      <w:t xml:space="preserve">   </w:t>
    </w:r>
    <w:r w:rsidR="00383EE8">
      <w:rPr>
        <w:noProof/>
      </w:rPr>
      <w:drawing>
        <wp:inline distT="0" distB="0" distL="0" distR="0">
          <wp:extent cx="1257300" cy="390525"/>
          <wp:effectExtent l="19050" t="0" r="0" b="0"/>
          <wp:docPr id="3" name="Picture 3" descr="NRC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RCScolor"/>
                  <pic:cNvPicPr>
                    <a:picLocks noChangeAspect="1" noChangeArrowheads="1"/>
                  </pic:cNvPicPr>
                </pic:nvPicPr>
                <pic:blipFill>
                  <a:blip r:embed="rId2"/>
                  <a:srcRect/>
                  <a:stretch>
                    <a:fillRect/>
                  </a:stretch>
                </pic:blipFill>
                <pic:spPr bwMode="auto">
                  <a:xfrm>
                    <a:off x="0" y="0"/>
                    <a:ext cx="1257300" cy="390525"/>
                  </a:xfrm>
                  <a:prstGeom prst="rect">
                    <a:avLst/>
                  </a:prstGeom>
                  <a:noFill/>
                  <a:ln w="9525">
                    <a:noFill/>
                    <a:miter lim="800000"/>
                    <a:headEnd/>
                    <a:tailEnd/>
                  </a:ln>
                </pic:spPr>
              </pic:pic>
            </a:graphicData>
          </a:graphic>
        </wp:inline>
      </w:drawing>
    </w:r>
    <w:r>
      <w:t xml:space="preserve">       </w:t>
    </w:r>
    <w:r w:rsidR="00C86821">
      <w:t xml:space="preserve">           </w:t>
    </w:r>
    <w:r w:rsidRPr="008455BA">
      <w:rPr>
        <w:color w:val="000080"/>
        <w:sz w:val="64"/>
        <w:szCs w:val="64"/>
      </w:rPr>
      <w:t>Plant Fact Sheet</w:t>
    </w:r>
    <w:r w:rsidRPr="007F678B">
      <w:rPr>
        <w:color w:val="000080"/>
        <w:sz w:val="60"/>
        <w:szCs w:val="60"/>
      </w:rPr>
      <w:t xml:space="preserve"> </w:t>
    </w:r>
    <w:r>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04352"/>
    <w:rsid w:val="00045226"/>
    <w:rsid w:val="00056463"/>
    <w:rsid w:val="000578C2"/>
    <w:rsid w:val="000700BB"/>
    <w:rsid w:val="00076DBB"/>
    <w:rsid w:val="000A1598"/>
    <w:rsid w:val="000C24BB"/>
    <w:rsid w:val="000E16ED"/>
    <w:rsid w:val="000F1970"/>
    <w:rsid w:val="00171009"/>
    <w:rsid w:val="0018267D"/>
    <w:rsid w:val="00190049"/>
    <w:rsid w:val="0019752E"/>
    <w:rsid w:val="001A364F"/>
    <w:rsid w:val="001C6609"/>
    <w:rsid w:val="001C6E25"/>
    <w:rsid w:val="001F2F55"/>
    <w:rsid w:val="002041F9"/>
    <w:rsid w:val="0020434D"/>
    <w:rsid w:val="002148DF"/>
    <w:rsid w:val="002567DA"/>
    <w:rsid w:val="0026727E"/>
    <w:rsid w:val="002672F4"/>
    <w:rsid w:val="002B1FEE"/>
    <w:rsid w:val="002B2D98"/>
    <w:rsid w:val="002B7160"/>
    <w:rsid w:val="002D7A49"/>
    <w:rsid w:val="002E0A2C"/>
    <w:rsid w:val="003232D1"/>
    <w:rsid w:val="00323F89"/>
    <w:rsid w:val="003631C1"/>
    <w:rsid w:val="00375E14"/>
    <w:rsid w:val="00377934"/>
    <w:rsid w:val="00383230"/>
    <w:rsid w:val="00383EE8"/>
    <w:rsid w:val="003B6120"/>
    <w:rsid w:val="003E064E"/>
    <w:rsid w:val="003F1973"/>
    <w:rsid w:val="003F2F3E"/>
    <w:rsid w:val="004052E3"/>
    <w:rsid w:val="0040539A"/>
    <w:rsid w:val="004071A4"/>
    <w:rsid w:val="0042039C"/>
    <w:rsid w:val="00424B43"/>
    <w:rsid w:val="004340C9"/>
    <w:rsid w:val="00437F11"/>
    <w:rsid w:val="00462BA9"/>
    <w:rsid w:val="00496441"/>
    <w:rsid w:val="00497F89"/>
    <w:rsid w:val="004A33B1"/>
    <w:rsid w:val="004A6BE7"/>
    <w:rsid w:val="004F0A5F"/>
    <w:rsid w:val="00521D04"/>
    <w:rsid w:val="00590313"/>
    <w:rsid w:val="0059150F"/>
    <w:rsid w:val="00592CFA"/>
    <w:rsid w:val="005F417A"/>
    <w:rsid w:val="00612566"/>
    <w:rsid w:val="00621F13"/>
    <w:rsid w:val="006346ED"/>
    <w:rsid w:val="0064731E"/>
    <w:rsid w:val="0067367F"/>
    <w:rsid w:val="0067774C"/>
    <w:rsid w:val="00694168"/>
    <w:rsid w:val="006C47E2"/>
    <w:rsid w:val="006C5408"/>
    <w:rsid w:val="006D1BF6"/>
    <w:rsid w:val="006D3FD9"/>
    <w:rsid w:val="00742DE3"/>
    <w:rsid w:val="00747A59"/>
    <w:rsid w:val="007C52E4"/>
    <w:rsid w:val="007C55C8"/>
    <w:rsid w:val="007D5C49"/>
    <w:rsid w:val="007F2319"/>
    <w:rsid w:val="007F678B"/>
    <w:rsid w:val="00833EB4"/>
    <w:rsid w:val="008455BA"/>
    <w:rsid w:val="00851759"/>
    <w:rsid w:val="00860B97"/>
    <w:rsid w:val="008B16DE"/>
    <w:rsid w:val="008B5115"/>
    <w:rsid w:val="008F3D5A"/>
    <w:rsid w:val="00955302"/>
    <w:rsid w:val="0096657A"/>
    <w:rsid w:val="009A366C"/>
    <w:rsid w:val="009D446C"/>
    <w:rsid w:val="009D5F78"/>
    <w:rsid w:val="009E622E"/>
    <w:rsid w:val="009F3107"/>
    <w:rsid w:val="00A16F2E"/>
    <w:rsid w:val="00A30A3F"/>
    <w:rsid w:val="00AA44F9"/>
    <w:rsid w:val="00AB2D34"/>
    <w:rsid w:val="00AD5E95"/>
    <w:rsid w:val="00AE6536"/>
    <w:rsid w:val="00AF5A1A"/>
    <w:rsid w:val="00B55E68"/>
    <w:rsid w:val="00B730E7"/>
    <w:rsid w:val="00B8425D"/>
    <w:rsid w:val="00BA0B52"/>
    <w:rsid w:val="00BB14C5"/>
    <w:rsid w:val="00BE5356"/>
    <w:rsid w:val="00C36DFB"/>
    <w:rsid w:val="00C457C2"/>
    <w:rsid w:val="00C457E9"/>
    <w:rsid w:val="00C45A9F"/>
    <w:rsid w:val="00C54E49"/>
    <w:rsid w:val="00C86821"/>
    <w:rsid w:val="00C9341A"/>
    <w:rsid w:val="00CA46A6"/>
    <w:rsid w:val="00CD0B30"/>
    <w:rsid w:val="00CD2DF2"/>
    <w:rsid w:val="00CD49CC"/>
    <w:rsid w:val="00CE2381"/>
    <w:rsid w:val="00CF7EC1"/>
    <w:rsid w:val="00D33BFB"/>
    <w:rsid w:val="00D46198"/>
    <w:rsid w:val="00D540AD"/>
    <w:rsid w:val="00D62818"/>
    <w:rsid w:val="00D70376"/>
    <w:rsid w:val="00D82E30"/>
    <w:rsid w:val="00D91693"/>
    <w:rsid w:val="00DC7C36"/>
    <w:rsid w:val="00DE3666"/>
    <w:rsid w:val="00E75FC8"/>
    <w:rsid w:val="00E80472"/>
    <w:rsid w:val="00E84F03"/>
    <w:rsid w:val="00EE4C18"/>
    <w:rsid w:val="00F202B5"/>
    <w:rsid w:val="00F645A6"/>
    <w:rsid w:val="00F7553C"/>
    <w:rsid w:val="00F802DB"/>
    <w:rsid w:val="00FB31AA"/>
    <w:rsid w:val="00FE5B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DocumentMap">
    <w:name w:val="Document Map"/>
    <w:basedOn w:val="Normal"/>
    <w:semiHidden/>
    <w:rsid w:val="00EE4C18"/>
    <w:pPr>
      <w:shd w:val="clear" w:color="auto" w:fill="000080"/>
    </w:pPr>
    <w:rPr>
      <w:rFonts w:ascii="Tahoma" w:hAnsi="Tahoma" w:cs="Tahoma"/>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nrcs.usda.gov/about/civilrights/"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963</Words>
  <Characters>5493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Antelope bitterbrush</vt:lpstr>
    </vt:vector>
  </TitlesOfParts>
  <Company>USDA NRCS National Plant Data Center</Company>
  <LinksUpToDate>false</LinksUpToDate>
  <CharactersWithSpaces>6444</CharactersWithSpaces>
  <SharedDoc>false</SharedDoc>
  <HLinks>
    <vt:vector size="18" baseType="variant">
      <vt:variant>
        <vt:i4>7995511</vt:i4>
      </vt:variant>
      <vt:variant>
        <vt:i4>6</vt:i4>
      </vt:variant>
      <vt:variant>
        <vt:i4>0</vt:i4>
      </vt:variant>
      <vt:variant>
        <vt:i4>5</vt:i4>
      </vt:variant>
      <vt:variant>
        <vt:lpwstr>http://www.nrcs.usda.gov/about/civilrights/</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Antelope bitterbrush</dc:title>
  <dc:subject>Purshia tridentata</dc:subject>
  <dc:creator>Gary Noller</dc:creator>
  <cp:keywords/>
  <cp:lastModifiedBy>William Farrell</cp:lastModifiedBy>
  <cp:revision>2</cp:revision>
  <cp:lastPrinted>2006-09-07T16:27:00Z</cp:lastPrinted>
  <dcterms:created xsi:type="dcterms:W3CDTF">2011-01-25T17:58:00Z</dcterms:created>
  <dcterms:modified xsi:type="dcterms:W3CDTF">2011-01-25T17:58:00Z</dcterms:modified>
</cp:coreProperties>
</file>