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D4037" w:rsidP="000578C2">
            <w:pPr>
              <w:pStyle w:val="TitleHeader"/>
              <w:rPr>
                <w:i/>
              </w:rPr>
            </w:pPr>
            <w:r>
              <w:lastRenderedPageBreak/>
              <w:t>Atlantic white cedar</w:t>
            </w:r>
          </w:p>
        </w:tc>
      </w:tr>
      <w:tr w:rsidR="00CD49CC">
        <w:tblPrEx>
          <w:tblCellMar>
            <w:top w:w="0" w:type="dxa"/>
            <w:bottom w:w="0" w:type="dxa"/>
          </w:tblCellMar>
        </w:tblPrEx>
        <w:tc>
          <w:tcPr>
            <w:tcW w:w="4410" w:type="dxa"/>
          </w:tcPr>
          <w:p w:rsidR="00CD49CC" w:rsidRPr="008F3D5A" w:rsidRDefault="004D4037" w:rsidP="008F3D5A">
            <w:pPr>
              <w:pStyle w:val="Titlesubheader1"/>
              <w:rPr>
                <w:i/>
              </w:rPr>
            </w:pPr>
            <w:r>
              <w:rPr>
                <w:i/>
              </w:rPr>
              <w:t>Chamaecyparis thyoides</w:t>
            </w:r>
            <w:r w:rsidR="000F1970" w:rsidRPr="008F3D5A">
              <w:t xml:space="preserve"> </w:t>
            </w:r>
            <w:r>
              <w:t>(L.) B.S.P.</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D4037">
              <w:t>CHTH2</w:t>
            </w:r>
          </w:p>
        </w:tc>
      </w:tr>
    </w:tbl>
    <w:p w:rsidR="00CD49CC" w:rsidRPr="004A50AC" w:rsidRDefault="00CD49CC" w:rsidP="004A50AC">
      <w:pPr>
        <w:jc w:val="left"/>
        <w:rPr>
          <w:sz w:val="20"/>
        </w:rPr>
      </w:pPr>
    </w:p>
    <w:p w:rsidR="00C8061B" w:rsidRPr="00C8061B" w:rsidRDefault="00C8061B" w:rsidP="00C8061B">
      <w:pPr>
        <w:pStyle w:val="Heading7"/>
        <w:spacing w:before="0"/>
        <w:jc w:val="left"/>
        <w:rPr>
          <w:b w:val="0"/>
          <w:i/>
          <w:sz w:val="20"/>
        </w:rPr>
      </w:pPr>
      <w:r w:rsidRPr="00C8061B">
        <w:rPr>
          <w:b w:val="0"/>
          <w:i/>
          <w:sz w:val="20"/>
        </w:rPr>
        <w:t xml:space="preserve">Contributed By: </w:t>
      </w:r>
      <w:smartTag w:uri="urn:schemas-microsoft-com:office:smarttags" w:element="PlaceName">
        <w:r w:rsidRPr="00C8061B">
          <w:rPr>
            <w:b w:val="0"/>
            <w:i/>
            <w:sz w:val="20"/>
          </w:rPr>
          <w:t>USDA</w:t>
        </w:r>
      </w:smartTag>
      <w:r w:rsidRPr="00C8061B">
        <w:rPr>
          <w:b w:val="0"/>
          <w:i/>
          <w:sz w:val="20"/>
        </w:rPr>
        <w:t xml:space="preserve"> </w:t>
      </w:r>
      <w:smartTag w:uri="urn:schemas-microsoft-com:office:smarttags" w:element="PlaceName">
        <w:r w:rsidRPr="00C8061B">
          <w:rPr>
            <w:b w:val="0"/>
            <w:i/>
            <w:sz w:val="20"/>
          </w:rPr>
          <w:t>NRCS</w:t>
        </w:r>
      </w:smartTag>
      <w:r w:rsidRPr="00C8061B">
        <w:rPr>
          <w:b w:val="0"/>
          <w:i/>
          <w:sz w:val="20"/>
        </w:rPr>
        <w:t xml:space="preserve"> </w:t>
      </w:r>
      <w:smartTag w:uri="urn:schemas-microsoft-com:office:smarttags" w:element="PlaceName">
        <w:r w:rsidRPr="00C8061B">
          <w:rPr>
            <w:b w:val="0"/>
            <w:i/>
            <w:sz w:val="20"/>
          </w:rPr>
          <w:t>National</w:t>
        </w:r>
      </w:smartTag>
      <w:r w:rsidRPr="00C8061B">
        <w:rPr>
          <w:b w:val="0"/>
          <w:i/>
          <w:sz w:val="20"/>
        </w:rPr>
        <w:t xml:space="preserve"> </w:t>
      </w:r>
      <w:smartTag w:uri="urn:schemas-microsoft-com:office:smarttags" w:element="PlaceName">
        <w:r w:rsidRPr="00C8061B">
          <w:rPr>
            <w:b w:val="0"/>
            <w:i/>
            <w:sz w:val="20"/>
          </w:rPr>
          <w:t>Plant</w:t>
        </w:r>
      </w:smartTag>
      <w:r w:rsidRPr="00C8061B">
        <w:rPr>
          <w:b w:val="0"/>
          <w:i/>
          <w:sz w:val="20"/>
        </w:rPr>
        <w:t xml:space="preserve"> </w:t>
      </w:r>
      <w:smartTag w:uri="urn:schemas-microsoft-com:office:smarttags" w:element="PlaceName">
        <w:r w:rsidRPr="00C8061B">
          <w:rPr>
            <w:b w:val="0"/>
            <w:i/>
            <w:sz w:val="20"/>
          </w:rPr>
          <w:t>Data</w:t>
        </w:r>
      </w:smartTag>
      <w:r w:rsidRPr="00C8061B">
        <w:rPr>
          <w:b w:val="0"/>
          <w:i/>
          <w:sz w:val="20"/>
        </w:rPr>
        <w:t xml:space="preserve"> </w:t>
      </w:r>
      <w:smartTag w:uri="urn:schemas-microsoft-com:office:smarttags" w:element="PlaceType">
        <w:r w:rsidRPr="00C8061B">
          <w:rPr>
            <w:b w:val="0"/>
            <w:i/>
            <w:sz w:val="20"/>
          </w:rPr>
          <w:t>Center</w:t>
        </w:r>
      </w:smartTag>
      <w:r w:rsidRPr="00C8061B">
        <w:rPr>
          <w:b w:val="0"/>
          <w:i/>
          <w:sz w:val="20"/>
        </w:rPr>
        <w:t xml:space="preserve"> &amp; the Biota of </w:t>
      </w:r>
      <w:smartTag w:uri="urn:schemas-microsoft-com:office:smarttags" w:element="place">
        <w:r w:rsidRPr="00C8061B">
          <w:rPr>
            <w:b w:val="0"/>
            <w:i/>
            <w:sz w:val="20"/>
          </w:rPr>
          <w:t>North America</w:t>
        </w:r>
      </w:smartTag>
      <w:r w:rsidRPr="00C8061B">
        <w:rPr>
          <w:b w:val="0"/>
          <w:i/>
          <w:sz w:val="20"/>
        </w:rPr>
        <w:t xml:space="preserve"> Program</w:t>
      </w:r>
    </w:p>
    <w:p w:rsidR="00C8061B" w:rsidRPr="00C8061B" w:rsidRDefault="00C8061B" w:rsidP="00C8061B">
      <w:pPr>
        <w:jc w:val="left"/>
        <w:rPr>
          <w:sz w:val="20"/>
        </w:rPr>
      </w:pPr>
      <w:r w:rsidRPr="00C8061B">
        <w:rPr>
          <w:noProof/>
          <w:sz w:val="20"/>
        </w:rPr>
        <w:pict>
          <v:shapetype id="_x0000_t202" coordsize="21600,21600" o:spt="202" path="m,l,21600r21600,l21600,xe">
            <v:stroke joinstyle="miter"/>
            <v:path gradientshapeok="t" o:connecttype="rect"/>
          </v:shapetype>
          <v:shape id="_x0000_s1063" type="#_x0000_t202" style="position:absolute;margin-left:0;margin-top:8.6pt;width:201.6pt;height:316.8pt;z-index:251657728" o:allowincell="f" stroked="f">
            <v:textbox>
              <w:txbxContent>
                <w:p w:rsidR="00C8061B" w:rsidRDefault="00C40B84" w:rsidP="00C8061B">
                  <w:r>
                    <w:rPr>
                      <w:noProof/>
                    </w:rPr>
                    <w:drawing>
                      <wp:inline distT="0" distB="0" distL="0" distR="0">
                        <wp:extent cx="2371725" cy="3562350"/>
                        <wp:effectExtent l="19050" t="0" r="9525" b="0"/>
                        <wp:docPr id="2" name="Picture 2" descr="Image of Atlantic white-cedar (Chamaecyparis thy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tlantic white-cedar (Chamaecyparis thyoides)"/>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C8061B" w:rsidRDefault="00C8061B" w:rsidP="00C8061B">
                  <w:pPr>
                    <w:jc w:val="right"/>
                    <w:rPr>
                      <w:sz w:val="16"/>
                    </w:rPr>
                  </w:pPr>
                  <w:r>
                    <w:rPr>
                      <w:sz w:val="16"/>
                    </w:rPr>
                    <w:t>Robert H. Mohlenbrock</w:t>
                  </w:r>
                </w:p>
                <w:p w:rsidR="00C8061B" w:rsidRDefault="00C8061B" w:rsidP="00C8061B">
                  <w:pPr>
                    <w:jc w:val="right"/>
                    <w:rPr>
                      <w:sz w:val="16"/>
                    </w:rPr>
                  </w:pPr>
                  <w:r>
                    <w:rPr>
                      <w:sz w:val="16"/>
                    </w:rPr>
                    <w:t>USDA, NRCS, Wetland Science Institute</w:t>
                  </w:r>
                </w:p>
                <w:p w:rsidR="00C8061B" w:rsidRDefault="00C8061B" w:rsidP="00C8061B">
                  <w:pPr>
                    <w:jc w:val="right"/>
                    <w:rPr>
                      <w:sz w:val="16"/>
                    </w:rPr>
                  </w:pPr>
                  <w:r>
                    <w:rPr>
                      <w:sz w:val="16"/>
                    </w:rPr>
                    <w:t>@ PLANTS</w:t>
                  </w:r>
                </w:p>
              </w:txbxContent>
            </v:textbox>
            <w10:wrap type="topAndBottom"/>
          </v:shape>
        </w:pict>
      </w:r>
    </w:p>
    <w:p w:rsidR="00C8061B" w:rsidRPr="00C8061B" w:rsidRDefault="00C8061B" w:rsidP="00C8061B">
      <w:pPr>
        <w:pStyle w:val="Header"/>
        <w:jc w:val="left"/>
        <w:rPr>
          <w:b/>
          <w:bCs/>
          <w:sz w:val="20"/>
        </w:rPr>
      </w:pPr>
      <w:r w:rsidRPr="00C8061B">
        <w:rPr>
          <w:b/>
          <w:bCs/>
          <w:sz w:val="20"/>
        </w:rPr>
        <w:t>Alternate common names</w:t>
      </w:r>
    </w:p>
    <w:p w:rsidR="00C8061B" w:rsidRPr="00C8061B" w:rsidRDefault="00C8061B" w:rsidP="00C8061B">
      <w:pPr>
        <w:jc w:val="left"/>
        <w:rPr>
          <w:sz w:val="20"/>
        </w:rPr>
      </w:pPr>
      <w:r w:rsidRPr="00C8061B">
        <w:rPr>
          <w:sz w:val="20"/>
        </w:rPr>
        <w:t xml:space="preserve">Southern white-cedar, white-cedar, swamp cedar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Uses</w:t>
      </w:r>
    </w:p>
    <w:p w:rsidR="00C8061B" w:rsidRPr="00C8061B" w:rsidRDefault="00C8061B" w:rsidP="00C8061B">
      <w:pPr>
        <w:jc w:val="left"/>
        <w:rPr>
          <w:sz w:val="20"/>
        </w:rPr>
      </w:pPr>
      <w:r w:rsidRPr="00C8061B">
        <w:rPr>
          <w:sz w:val="20"/>
        </w:rPr>
        <w:t xml:space="preserve">The wood is light, soft, close-grained, and slightly fragrant.  It is easily worked, resistant to decay, and shrinks and warps very little during seasoning.  It has been used for shingles, posts, woodenware, and interior finishes, but primary current uses are for telephone poles, piling, ties, siding, and boat railing.  Many cultivars of Atlantic white-cedar have been described (see Rehder 1949).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Heavy cutting for many commercial uses during this century has considerably reduced even the largest stands, but it is still considered a commercially important species in the major supply areas of southeastern </w:t>
      </w:r>
      <w:smartTag w:uri="urn:schemas-microsoft-com:office:smarttags" w:element="State">
        <w:r w:rsidRPr="00C8061B">
          <w:rPr>
            <w:sz w:val="20"/>
          </w:rPr>
          <w:t>Virginia</w:t>
        </w:r>
      </w:smartTag>
      <w:r w:rsidRPr="00C8061B">
        <w:rPr>
          <w:sz w:val="20"/>
        </w:rPr>
        <w:t xml:space="preserve">, </w:t>
      </w:r>
      <w:smartTag w:uri="urn:schemas-microsoft-com:office:smarttags" w:element="State">
        <w:r w:rsidRPr="00C8061B">
          <w:rPr>
            <w:sz w:val="20"/>
          </w:rPr>
          <w:t>North Carolina</w:t>
        </w:r>
      </w:smartTag>
      <w:r w:rsidRPr="00C8061B">
        <w:rPr>
          <w:sz w:val="20"/>
        </w:rPr>
        <w:t xml:space="preserve">, </w:t>
      </w:r>
      <w:smartTag w:uri="urn:schemas-microsoft-com:office:smarttags" w:element="State">
        <w:r w:rsidRPr="00C8061B">
          <w:rPr>
            <w:sz w:val="20"/>
          </w:rPr>
          <w:t>South Carolina</w:t>
        </w:r>
      </w:smartTag>
      <w:r w:rsidRPr="00C8061B">
        <w:rPr>
          <w:sz w:val="20"/>
        </w:rPr>
        <w:t xml:space="preserve">, and northwestern </w:t>
      </w:r>
      <w:smartTag w:uri="urn:schemas-microsoft-com:office:smarttags" w:element="place">
        <w:smartTag w:uri="urn:schemas-microsoft-com:office:smarttags" w:element="State">
          <w:r w:rsidRPr="00C8061B">
            <w:rPr>
              <w:sz w:val="20"/>
            </w:rPr>
            <w:t>Florida</w:t>
          </w:r>
        </w:smartTag>
      </w:smartTag>
      <w:r w:rsidRPr="00C8061B">
        <w:rPr>
          <w:sz w:val="20"/>
        </w:rPr>
        <w:t xml:space="preserve">.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Cultivars have been selected for shape and needle color – they are useful for naturalizing in wet areas.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Status</w:t>
      </w:r>
    </w:p>
    <w:p w:rsidR="00C8061B" w:rsidRPr="00C8061B" w:rsidRDefault="00C8061B" w:rsidP="00C8061B">
      <w:pPr>
        <w:jc w:val="left"/>
        <w:rPr>
          <w:sz w:val="20"/>
        </w:rPr>
      </w:pPr>
      <w:r w:rsidRPr="00C8061B">
        <w:rPr>
          <w:sz w:val="20"/>
        </w:rPr>
        <w:t xml:space="preserve">Please consult the PLANTS Web site and your State Department of Natural Resources for this plant’s current status, such as, state noxious status and wetland indicator values.  Atlantic white-cedar is considered rare in </w:t>
      </w:r>
      <w:smartTag w:uri="urn:schemas-microsoft-com:office:smarttags" w:element="country-region">
        <w:r w:rsidRPr="00C8061B">
          <w:rPr>
            <w:sz w:val="20"/>
          </w:rPr>
          <w:t>Georgia</w:t>
        </w:r>
      </w:smartTag>
      <w:r w:rsidRPr="00C8061B">
        <w:rPr>
          <w:sz w:val="20"/>
        </w:rPr>
        <w:t xml:space="preserve">, </w:t>
      </w:r>
      <w:smartTag w:uri="urn:schemas-microsoft-com:office:smarttags" w:element="State">
        <w:r w:rsidRPr="00C8061B">
          <w:rPr>
            <w:sz w:val="20"/>
          </w:rPr>
          <w:t>Mississippi</w:t>
        </w:r>
      </w:smartTag>
      <w:r w:rsidRPr="00C8061B">
        <w:rPr>
          <w:sz w:val="20"/>
        </w:rPr>
        <w:t xml:space="preserve">, </w:t>
      </w:r>
      <w:smartTag w:uri="urn:schemas-microsoft-com:office:smarttags" w:element="State">
        <w:r w:rsidRPr="00C8061B">
          <w:rPr>
            <w:sz w:val="20"/>
          </w:rPr>
          <w:t>Maine</w:t>
        </w:r>
      </w:smartTag>
      <w:r w:rsidRPr="00C8061B">
        <w:rPr>
          <w:sz w:val="20"/>
        </w:rPr>
        <w:t xml:space="preserve">, </w:t>
      </w:r>
      <w:smartTag w:uri="urn:schemas-microsoft-com:office:smarttags" w:element="State">
        <w:r w:rsidRPr="00C8061B">
          <w:rPr>
            <w:sz w:val="20"/>
          </w:rPr>
          <w:t>Maryland</w:t>
        </w:r>
      </w:smartTag>
      <w:r w:rsidRPr="00C8061B">
        <w:rPr>
          <w:sz w:val="20"/>
        </w:rPr>
        <w:t xml:space="preserve">, </w:t>
      </w:r>
      <w:smartTag w:uri="urn:schemas-microsoft-com:office:smarttags" w:element="City">
        <w:r w:rsidRPr="00C8061B">
          <w:rPr>
            <w:sz w:val="20"/>
          </w:rPr>
          <w:t>New York</w:t>
        </w:r>
      </w:smartTag>
      <w:r w:rsidRPr="00C8061B">
        <w:rPr>
          <w:sz w:val="20"/>
        </w:rPr>
        <w:t xml:space="preserve">, </w:t>
      </w:r>
      <w:smartTag w:uri="urn:schemas-microsoft-com:office:smarttags" w:element="State">
        <w:r w:rsidRPr="00C8061B">
          <w:rPr>
            <w:sz w:val="20"/>
          </w:rPr>
          <w:t>New Hampshire</w:t>
        </w:r>
      </w:smartTag>
      <w:r w:rsidRPr="00C8061B">
        <w:rPr>
          <w:sz w:val="20"/>
        </w:rPr>
        <w:t xml:space="preserve">, and </w:t>
      </w:r>
      <w:smartTag w:uri="urn:schemas-microsoft-com:office:smarttags" w:element="State">
        <w:smartTag w:uri="urn:schemas-microsoft-com:office:smarttags" w:element="place">
          <w:r w:rsidRPr="00C8061B">
            <w:rPr>
              <w:sz w:val="20"/>
            </w:rPr>
            <w:t>Maine</w:t>
          </w:r>
        </w:smartTag>
      </w:smartTag>
      <w:r w:rsidRPr="00C8061B">
        <w:rPr>
          <w:sz w:val="20"/>
        </w:rPr>
        <w:t xml:space="preserve">.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Description</w:t>
      </w:r>
    </w:p>
    <w:p w:rsidR="00C8061B" w:rsidRPr="00C8061B" w:rsidRDefault="00C8061B" w:rsidP="00C8061B">
      <w:pPr>
        <w:jc w:val="left"/>
        <w:rPr>
          <w:sz w:val="20"/>
        </w:rPr>
      </w:pPr>
      <w:r w:rsidRPr="00C8061B">
        <w:rPr>
          <w:i/>
          <w:sz w:val="20"/>
        </w:rPr>
        <w:t xml:space="preserve">General: </w:t>
      </w:r>
      <w:smartTag w:uri="urn:schemas-microsoft-com:office:smarttags" w:element="City">
        <w:smartTag w:uri="urn:schemas-microsoft-com:office:smarttags" w:element="place">
          <w:r w:rsidRPr="00C8061B">
            <w:rPr>
              <w:sz w:val="20"/>
            </w:rPr>
            <w:t>Cypress</w:t>
          </w:r>
        </w:smartTag>
      </w:smartTag>
      <w:r w:rsidRPr="00C8061B">
        <w:rPr>
          <w:sz w:val="20"/>
        </w:rPr>
        <w:t xml:space="preserve"> family (Cupressaceae).  Native evergreen trees growing to 20 (-28) meters tall; trunks to 0.8 (-1.5) meters in diameter.  Bark: reddish-brown, irregularly furrowed and ridged, peeling in long, fibrous strips, often partially twisted around the trunk.  Branchlets are terete or rhombic in cross-section, in fan-shaped sprays, covered with dark blue-green, overlapping scale leaves to 2 mm long; facial and lateral leaves similar, usually with circular leaf glands.  Seed cones are globose, 4-9 mm broad, bluish-purple to reddish-brown at maturity, with a somewhat crumpled appearance; scales 5-7.  Native.  The common name reflects its occurrence on the Atlantic coastal plain and its light-colored wood.  </w:t>
      </w:r>
    </w:p>
    <w:p w:rsidR="00C8061B" w:rsidRPr="00C8061B" w:rsidRDefault="00C8061B" w:rsidP="00C8061B">
      <w:pPr>
        <w:jc w:val="left"/>
        <w:rPr>
          <w:sz w:val="20"/>
        </w:rPr>
      </w:pPr>
    </w:p>
    <w:p w:rsidR="00C8061B" w:rsidRPr="00C8061B" w:rsidRDefault="00C8061B" w:rsidP="00C8061B">
      <w:pPr>
        <w:jc w:val="left"/>
        <w:rPr>
          <w:sz w:val="20"/>
        </w:rPr>
      </w:pPr>
      <w:r w:rsidRPr="00C8061B">
        <w:rPr>
          <w:i/>
          <w:sz w:val="20"/>
        </w:rPr>
        <w:t>Variation within the species</w:t>
      </w:r>
      <w:r w:rsidRPr="00C8061B">
        <w:rPr>
          <w:sz w:val="20"/>
        </w:rPr>
        <w:t xml:space="preserve">: populations of Atlantic white-cedar in Florida, Alabama, and Mississippi have been segregated as </w:t>
      </w:r>
      <w:r w:rsidRPr="00C8061B">
        <w:rPr>
          <w:i/>
          <w:sz w:val="20"/>
        </w:rPr>
        <w:t>Chamaecyparis henryae</w:t>
      </w:r>
      <w:r w:rsidRPr="00C8061B">
        <w:rPr>
          <w:sz w:val="20"/>
        </w:rPr>
        <w:t xml:space="preserve"> Li (= </w:t>
      </w:r>
      <w:r w:rsidRPr="00C8061B">
        <w:rPr>
          <w:i/>
          <w:sz w:val="20"/>
        </w:rPr>
        <w:t>C. thyoides</w:t>
      </w:r>
      <w:r w:rsidRPr="00C8061B">
        <w:rPr>
          <w:sz w:val="20"/>
        </w:rPr>
        <w:t xml:space="preserve"> var. </w:t>
      </w:r>
      <w:r w:rsidRPr="00C8061B">
        <w:rPr>
          <w:i/>
          <w:sz w:val="20"/>
        </w:rPr>
        <w:t>henryae</w:t>
      </w:r>
      <w:r w:rsidRPr="00C8061B">
        <w:rPr>
          <w:sz w:val="20"/>
        </w:rPr>
        <w:t xml:space="preserve"> (Li) Little), based on differences in bark, branchlets, leaves, and fruit, but the species also is variable in the Atlantic coastal segment of its range and the Gulf coast segregate has not generally been accepted.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Arborvitae (</w:t>
      </w:r>
      <w:r w:rsidRPr="00C8061B">
        <w:rPr>
          <w:i/>
          <w:sz w:val="20"/>
        </w:rPr>
        <w:t>Thuja occidentalis</w:t>
      </w:r>
      <w:r w:rsidRPr="00C8061B">
        <w:rPr>
          <w:sz w:val="20"/>
        </w:rPr>
        <w:t xml:space="preserve">) can be distinguished from Atlantic white-cedar by its flattened branchlets with clearly differentiated facial and lateral leaves and its ellipsoid seed cones.   </w:t>
      </w:r>
    </w:p>
    <w:p w:rsidR="00C8061B" w:rsidRPr="00C8061B" w:rsidRDefault="00C8061B" w:rsidP="00C8061B">
      <w:pPr>
        <w:jc w:val="left"/>
        <w:rPr>
          <w:sz w:val="20"/>
        </w:rPr>
      </w:pPr>
    </w:p>
    <w:p w:rsidR="00C8061B" w:rsidRPr="00C8061B" w:rsidRDefault="00C8061B" w:rsidP="00C8061B">
      <w:pPr>
        <w:jc w:val="left"/>
        <w:rPr>
          <w:sz w:val="20"/>
        </w:rPr>
      </w:pPr>
      <w:r w:rsidRPr="00C8061B">
        <w:rPr>
          <w:i/>
          <w:sz w:val="20"/>
        </w:rPr>
        <w:t xml:space="preserve">Distribution: </w:t>
      </w:r>
      <w:r w:rsidRPr="00C8061B">
        <w:rPr>
          <w:sz w:val="20"/>
        </w:rPr>
        <w:t xml:space="preserve">Atlantic white-cedar grows in a narrow coastal belt 80 to 210 km (50 to 130 miles) wide from southern </w:t>
      </w:r>
      <w:smartTag w:uri="urn:schemas-microsoft-com:office:smarttags" w:element="State">
        <w:r w:rsidRPr="00C8061B">
          <w:rPr>
            <w:sz w:val="20"/>
          </w:rPr>
          <w:t>Maine</w:t>
        </w:r>
      </w:smartTag>
      <w:r w:rsidRPr="00C8061B">
        <w:rPr>
          <w:sz w:val="20"/>
        </w:rPr>
        <w:t xml:space="preserve"> to northern </w:t>
      </w:r>
      <w:smartTag w:uri="urn:schemas-microsoft-com:office:smarttags" w:element="State">
        <w:r w:rsidRPr="00C8061B">
          <w:rPr>
            <w:sz w:val="20"/>
          </w:rPr>
          <w:t>Florida</w:t>
        </w:r>
      </w:smartTag>
      <w:r w:rsidRPr="00C8061B">
        <w:rPr>
          <w:sz w:val="20"/>
        </w:rPr>
        <w:t xml:space="preserve"> and west to </w:t>
      </w:r>
      <w:r w:rsidRPr="00C8061B">
        <w:rPr>
          <w:sz w:val="20"/>
        </w:rPr>
        <w:lastRenderedPageBreak/>
        <w:t xml:space="preserve">southern </w:t>
      </w:r>
      <w:smartTag w:uri="urn:schemas-microsoft-com:office:smarttags" w:element="State">
        <w:smartTag w:uri="urn:schemas-microsoft-com:office:smarttags" w:element="place">
          <w:r w:rsidRPr="00C8061B">
            <w:rPr>
              <w:sz w:val="20"/>
            </w:rPr>
            <w:t>Mississippi</w:t>
          </w:r>
        </w:smartTag>
      </w:smartTag>
      <w:r w:rsidRPr="00C8061B">
        <w:rPr>
          <w:sz w:val="20"/>
        </w:rPr>
        <w:t xml:space="preserve">.  The scarcity of suitable growing sites makes distribution of the species within the coastal belt very patchy.  The species is now classified as rare in </w:t>
      </w:r>
      <w:smartTag w:uri="urn:schemas-microsoft-com:office:smarttags" w:element="country-region">
        <w:r w:rsidRPr="00C8061B">
          <w:rPr>
            <w:sz w:val="20"/>
          </w:rPr>
          <w:t>Georgia</w:t>
        </w:r>
      </w:smartTag>
      <w:r w:rsidRPr="00C8061B">
        <w:rPr>
          <w:sz w:val="20"/>
        </w:rPr>
        <w:t xml:space="preserve">, </w:t>
      </w:r>
      <w:smartTag w:uri="urn:schemas-microsoft-com:office:smarttags" w:element="State">
        <w:r w:rsidRPr="00C8061B">
          <w:rPr>
            <w:sz w:val="20"/>
          </w:rPr>
          <w:t>Mississippi</w:t>
        </w:r>
      </w:smartTag>
      <w:r w:rsidRPr="00C8061B">
        <w:rPr>
          <w:sz w:val="20"/>
        </w:rPr>
        <w:t xml:space="preserve">, </w:t>
      </w:r>
      <w:smartTag w:uri="urn:schemas-microsoft-com:office:smarttags" w:element="State">
        <w:r w:rsidRPr="00C8061B">
          <w:rPr>
            <w:sz w:val="20"/>
          </w:rPr>
          <w:t>Maine</w:t>
        </w:r>
      </w:smartTag>
      <w:r w:rsidRPr="00C8061B">
        <w:rPr>
          <w:sz w:val="20"/>
        </w:rPr>
        <w:t xml:space="preserve">, </w:t>
      </w:r>
      <w:smartTag w:uri="urn:schemas-microsoft-com:office:smarttags" w:element="State">
        <w:r w:rsidRPr="00C8061B">
          <w:rPr>
            <w:sz w:val="20"/>
          </w:rPr>
          <w:t>Maryland</w:t>
        </w:r>
      </w:smartTag>
      <w:r w:rsidRPr="00C8061B">
        <w:rPr>
          <w:sz w:val="20"/>
        </w:rPr>
        <w:t xml:space="preserve">, </w:t>
      </w:r>
      <w:smartTag w:uri="urn:schemas-microsoft-com:office:smarttags" w:element="City">
        <w:r w:rsidRPr="00C8061B">
          <w:rPr>
            <w:sz w:val="20"/>
          </w:rPr>
          <w:t>New York</w:t>
        </w:r>
      </w:smartTag>
      <w:r w:rsidRPr="00C8061B">
        <w:rPr>
          <w:sz w:val="20"/>
        </w:rPr>
        <w:t xml:space="preserve">, </w:t>
      </w:r>
      <w:smartTag w:uri="urn:schemas-microsoft-com:office:smarttags" w:element="State">
        <w:r w:rsidRPr="00C8061B">
          <w:rPr>
            <w:sz w:val="20"/>
          </w:rPr>
          <w:t>New Hampshire</w:t>
        </w:r>
      </w:smartTag>
      <w:r w:rsidRPr="00C8061B">
        <w:rPr>
          <w:sz w:val="20"/>
        </w:rPr>
        <w:t xml:space="preserve">, and </w:t>
      </w:r>
      <w:smartTag w:uri="urn:schemas-microsoft-com:office:smarttags" w:element="State">
        <w:smartTag w:uri="urn:schemas-microsoft-com:office:smarttags" w:element="place">
          <w:r w:rsidRPr="00C8061B">
            <w:rPr>
              <w:sz w:val="20"/>
            </w:rPr>
            <w:t>Maine</w:t>
          </w:r>
        </w:smartTag>
      </w:smartTag>
      <w:r w:rsidRPr="00C8061B">
        <w:rPr>
          <w:sz w:val="20"/>
        </w:rPr>
        <w:t xml:space="preserve">.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 xml:space="preserve">Adaptation </w:t>
      </w:r>
    </w:p>
    <w:p w:rsidR="00C8061B" w:rsidRPr="00C8061B" w:rsidRDefault="00C8061B" w:rsidP="00C8061B">
      <w:pPr>
        <w:jc w:val="left"/>
        <w:rPr>
          <w:sz w:val="20"/>
        </w:rPr>
      </w:pPr>
      <w:r w:rsidRPr="00C8061B">
        <w:rPr>
          <w:sz w:val="20"/>
        </w:rPr>
        <w:t xml:space="preserve">Atlantic white-cedar is found most frequently in small dense stands in fresh water swamps and bogs, sometimes on sandy soils, but usually on acidic muck (peat).  The species is absent or uncommon in areas where muck is underlain by clay or contains appreciable amounts of silt or clay.  Habitats in southeastern </w:t>
      </w:r>
      <w:smartTag w:uri="urn:schemas-microsoft-com:office:smarttags" w:element="State">
        <w:smartTag w:uri="urn:schemas-microsoft-com:office:smarttags" w:element="place">
          <w:r w:rsidRPr="00C8061B">
            <w:rPr>
              <w:sz w:val="20"/>
            </w:rPr>
            <w:t>New Jersey</w:t>
          </w:r>
        </w:smartTag>
      </w:smartTag>
      <w:r w:rsidRPr="00C8061B">
        <w:rPr>
          <w:sz w:val="20"/>
        </w:rPr>
        <w:t xml:space="preserve"> range from about 1 meter elevation, where the trees border the tidal marsh, to 43 meters in some inland stands.  The species currently grows in at least one upland bog in northern </w:t>
      </w:r>
      <w:smartTag w:uri="urn:schemas-microsoft-com:office:smarttags" w:element="State">
        <w:smartTag w:uri="urn:schemas-microsoft-com:office:smarttags" w:element="place">
          <w:r w:rsidRPr="00C8061B">
            <w:rPr>
              <w:sz w:val="20"/>
            </w:rPr>
            <w:t>New Jersey</w:t>
          </w:r>
        </w:smartTag>
      </w:smartTag>
      <w:r w:rsidRPr="00C8061B">
        <w:rPr>
          <w:sz w:val="20"/>
        </w:rPr>
        <w:t xml:space="preserve"> at an elevation of 457 meters.  </w:t>
      </w:r>
    </w:p>
    <w:p w:rsidR="00C8061B" w:rsidRPr="00C8061B" w:rsidRDefault="00C8061B" w:rsidP="00C8061B">
      <w:pPr>
        <w:jc w:val="left"/>
        <w:rPr>
          <w:sz w:val="20"/>
        </w:rPr>
      </w:pPr>
      <w:r w:rsidRPr="00C8061B">
        <w:rPr>
          <w:sz w:val="20"/>
        </w:rPr>
        <w:t xml:space="preserve"> </w:t>
      </w:r>
    </w:p>
    <w:p w:rsidR="00C8061B" w:rsidRPr="00C8061B" w:rsidRDefault="00C8061B" w:rsidP="00C8061B">
      <w:pPr>
        <w:pStyle w:val="Header"/>
        <w:jc w:val="left"/>
        <w:rPr>
          <w:b/>
          <w:bCs/>
          <w:sz w:val="20"/>
        </w:rPr>
      </w:pPr>
      <w:r w:rsidRPr="00C8061B">
        <w:rPr>
          <w:b/>
          <w:bCs/>
          <w:sz w:val="20"/>
        </w:rPr>
        <w:t xml:space="preserve">Establishment </w:t>
      </w:r>
    </w:p>
    <w:p w:rsidR="00C8061B" w:rsidRPr="00C8061B" w:rsidRDefault="00C8061B" w:rsidP="00C8061B">
      <w:pPr>
        <w:jc w:val="left"/>
        <w:rPr>
          <w:sz w:val="20"/>
        </w:rPr>
      </w:pPr>
      <w:r w:rsidRPr="00C8061B">
        <w:rPr>
          <w:sz w:val="20"/>
        </w:rPr>
        <w:t xml:space="preserve">Trees of Atlantic white-cedar in open stands start bearing seed at 4-5 years, although these seeds may be relatively low in viability; trees in dense stands begin cone production at 10-20 years.  Fair to excellent seed crops are produced each year.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Germination occurs in a variety of light conditions, even in very low light intensity, but relatively open conditions are essential for good survival and growth of Atlantic white-cedar seedlings in competition with associates of shrubs and hardwoods (especially red maple, blackgum, sweetbay, and others).  Establishment in nature usually occurs following disturbance of the canopy.  Seedlings develop a very short taproot, and successful establishment requires not only adequate surface moisture for seed germination but also available moisture within reach of the shallow root systems.  Suitable seedbeds include moist rotting wood, </w:t>
      </w:r>
      <w:r w:rsidRPr="00C8061B">
        <w:rPr>
          <w:i/>
          <w:sz w:val="20"/>
        </w:rPr>
        <w:t>Sphagnum</w:t>
      </w:r>
      <w:r w:rsidRPr="00C8061B">
        <w:rPr>
          <w:sz w:val="20"/>
        </w:rPr>
        <w:t xml:space="preserve"> moss, muck, and moist mineral soil – these on hummocks where standing water is not present all year.  Thick litter and slash are unfavorable for germination and establishment.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Increases in height slow after about 50 years and stop after 100 years; increases in diameter may continue at a relatively even rate up to 100 years.  Stand age rarely exceeds 200 years, although some trees have apparently have reached 1000 years of age.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Management</w:t>
      </w:r>
    </w:p>
    <w:p w:rsidR="00C8061B" w:rsidRPr="00C8061B" w:rsidRDefault="00C8061B" w:rsidP="00C8061B">
      <w:pPr>
        <w:jc w:val="left"/>
        <w:rPr>
          <w:sz w:val="20"/>
        </w:rPr>
      </w:pPr>
      <w:r w:rsidRPr="00C8061B">
        <w:rPr>
          <w:sz w:val="20"/>
        </w:rPr>
        <w:t xml:space="preserve">Because of the shallow root system, trees of Atlantic white-cedar are extremely susceptible to windthrow, especially where they occur in permanently saturated sites and where stands have been opened by partial </w:t>
      </w:r>
      <w:r w:rsidRPr="00C8061B">
        <w:rPr>
          <w:sz w:val="20"/>
        </w:rPr>
        <w:lastRenderedPageBreak/>
        <w:t xml:space="preserve">cuttings.  Fungi and insects usually do not cause serious damage.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Cultivars, Improved and Selected Materials (and area of origin)</w:t>
      </w:r>
    </w:p>
    <w:p w:rsidR="00C8061B" w:rsidRPr="00C8061B" w:rsidRDefault="00C8061B" w:rsidP="00C8061B">
      <w:pPr>
        <w:jc w:val="left"/>
        <w:rPr>
          <w:sz w:val="20"/>
        </w:rPr>
      </w:pPr>
      <w:r w:rsidRPr="00C8061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References</w:t>
      </w:r>
    </w:p>
    <w:p w:rsidR="00C8061B" w:rsidRPr="00C8061B" w:rsidRDefault="00C8061B" w:rsidP="00C8061B">
      <w:pPr>
        <w:jc w:val="left"/>
        <w:rPr>
          <w:sz w:val="20"/>
        </w:rPr>
      </w:pPr>
      <w:r w:rsidRPr="00C8061B">
        <w:rPr>
          <w:sz w:val="20"/>
        </w:rPr>
        <w:t xml:space="preserve">Li, H.L. 1962.  A new species of </w:t>
      </w:r>
      <w:r w:rsidRPr="00C8061B">
        <w:rPr>
          <w:i/>
          <w:sz w:val="20"/>
        </w:rPr>
        <w:t>Chamaecyparis.</w:t>
      </w:r>
      <w:r w:rsidRPr="00C8061B">
        <w:rPr>
          <w:sz w:val="20"/>
        </w:rPr>
        <w:t xml:space="preserve">  Morris Arboret. Bull. 13:43-46.  </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Little, S. &amp; P.W. Garrett 1990.  </w:t>
      </w:r>
      <w:r w:rsidRPr="00C8061B">
        <w:rPr>
          <w:i/>
          <w:sz w:val="20"/>
        </w:rPr>
        <w:t>Chamaecyparis thyoides</w:t>
      </w:r>
      <w:r w:rsidRPr="00C8061B">
        <w:rPr>
          <w:sz w:val="20"/>
        </w:rPr>
        <w:t xml:space="preserve">.  Pp. 103-108, in R.M. Burns and B.H. Honkala.  </w:t>
      </w:r>
      <w:r w:rsidRPr="00C8061B">
        <w:rPr>
          <w:i/>
          <w:sz w:val="20"/>
        </w:rPr>
        <w:t xml:space="preserve">Silvics of </w:t>
      </w:r>
      <w:smartTag w:uri="urn:schemas-microsoft-com:office:smarttags" w:element="place">
        <w:r w:rsidRPr="00C8061B">
          <w:rPr>
            <w:i/>
            <w:sz w:val="20"/>
          </w:rPr>
          <w:t>North America</w:t>
        </w:r>
      </w:smartTag>
      <w:r w:rsidRPr="00C8061B">
        <w:rPr>
          <w:sz w:val="20"/>
        </w:rPr>
        <w:t xml:space="preserve">. </w:t>
      </w:r>
      <w:r w:rsidRPr="00C8061B">
        <w:rPr>
          <w:i/>
          <w:sz w:val="20"/>
        </w:rPr>
        <w:t>Volume 1.</w:t>
      </w:r>
      <w:r w:rsidRPr="00C8061B">
        <w:rPr>
          <w:sz w:val="20"/>
        </w:rPr>
        <w:t xml:space="preserve">  </w:t>
      </w:r>
      <w:r w:rsidRPr="00C8061B">
        <w:rPr>
          <w:i/>
          <w:sz w:val="20"/>
        </w:rPr>
        <w:t>Conifers</w:t>
      </w:r>
      <w:r w:rsidRPr="00C8061B">
        <w:rPr>
          <w:sz w:val="20"/>
        </w:rPr>
        <w:t xml:space="preserve">.  </w:t>
      </w:r>
      <w:smartTag w:uri="urn:schemas-microsoft-com:office:smarttags" w:element="PlaceName">
        <w:r w:rsidRPr="00C8061B">
          <w:rPr>
            <w:sz w:val="20"/>
          </w:rPr>
          <w:t>USDA</w:t>
        </w:r>
      </w:smartTag>
      <w:r w:rsidRPr="00C8061B">
        <w:rPr>
          <w:sz w:val="20"/>
        </w:rPr>
        <w:t xml:space="preserve"> </w:t>
      </w:r>
      <w:smartTag w:uri="urn:schemas-microsoft-com:office:smarttags" w:element="PlaceType">
        <w:r w:rsidRPr="00C8061B">
          <w:rPr>
            <w:sz w:val="20"/>
          </w:rPr>
          <w:t>Forest</w:t>
        </w:r>
      </w:smartTag>
      <w:r w:rsidRPr="00C8061B">
        <w:rPr>
          <w:sz w:val="20"/>
        </w:rPr>
        <w:t xml:space="preserve"> Service Agric. Handbook 654, </w:t>
      </w:r>
      <w:smartTag w:uri="urn:schemas-microsoft-com:office:smarttags" w:element="place">
        <w:smartTag w:uri="urn:schemas-microsoft-com:office:smarttags" w:element="City">
          <w:r w:rsidRPr="00C8061B">
            <w:rPr>
              <w:sz w:val="20"/>
            </w:rPr>
            <w:t>Washington</w:t>
          </w:r>
        </w:smartTag>
        <w:r w:rsidRPr="00C8061B">
          <w:rPr>
            <w:sz w:val="20"/>
          </w:rPr>
          <w:t xml:space="preserve">, </w:t>
        </w:r>
        <w:smartTag w:uri="urn:schemas-microsoft-com:office:smarttags" w:element="State">
          <w:r w:rsidRPr="00C8061B">
            <w:rPr>
              <w:sz w:val="20"/>
            </w:rPr>
            <w:t>D.C.</w:t>
          </w:r>
        </w:smartTag>
      </w:smartTag>
      <w:r w:rsidRPr="00C8061B">
        <w:rPr>
          <w:sz w:val="20"/>
        </w:rPr>
        <w:t xml:space="preserve">  &lt;http://willow.ncfes.umn.edu/silvics_manual/Table_of_contents.htm&gt;</w:t>
      </w:r>
    </w:p>
    <w:p w:rsidR="00C8061B" w:rsidRPr="00C8061B" w:rsidRDefault="00C8061B" w:rsidP="00C8061B">
      <w:pPr>
        <w:jc w:val="left"/>
        <w:rPr>
          <w:sz w:val="20"/>
        </w:rPr>
      </w:pPr>
    </w:p>
    <w:p w:rsidR="00C8061B" w:rsidRPr="00C8061B" w:rsidRDefault="00C8061B" w:rsidP="00C8061B">
      <w:pPr>
        <w:jc w:val="left"/>
        <w:rPr>
          <w:sz w:val="20"/>
        </w:rPr>
      </w:pPr>
      <w:smartTag w:uri="urn:schemas-microsoft-com:office:smarttags" w:element="place">
        <w:smartTag w:uri="urn:schemas-microsoft-com:office:smarttags" w:element="City">
          <w:r w:rsidRPr="00C8061B">
            <w:rPr>
              <w:sz w:val="20"/>
            </w:rPr>
            <w:t>Michener</w:t>
          </w:r>
        </w:smartTag>
        <w:r w:rsidRPr="00C8061B">
          <w:rPr>
            <w:sz w:val="20"/>
          </w:rPr>
          <w:t xml:space="preserve">, </w:t>
        </w:r>
        <w:smartTag w:uri="urn:schemas-microsoft-com:office:smarttags" w:element="State">
          <w:r w:rsidRPr="00C8061B">
            <w:rPr>
              <w:sz w:val="20"/>
            </w:rPr>
            <w:t>D.C.</w:t>
          </w:r>
        </w:smartTag>
      </w:smartTag>
      <w:r w:rsidRPr="00C8061B">
        <w:rPr>
          <w:sz w:val="20"/>
        </w:rPr>
        <w:t xml:space="preserve"> 1993.  </w:t>
      </w:r>
      <w:r w:rsidRPr="00C8061B">
        <w:rPr>
          <w:i/>
          <w:sz w:val="20"/>
        </w:rPr>
        <w:t>Chamaecyparis</w:t>
      </w:r>
      <w:r w:rsidRPr="00C8061B">
        <w:rPr>
          <w:sz w:val="20"/>
        </w:rPr>
        <w:t xml:space="preserve">.  Pp. 408-410, in </w:t>
      </w:r>
      <w:r w:rsidRPr="00C8061B">
        <w:rPr>
          <w:i/>
          <w:sz w:val="20"/>
        </w:rPr>
        <w:t xml:space="preserve">Flora of North America, north of </w:t>
      </w:r>
      <w:smartTag w:uri="urn:schemas-microsoft-com:office:smarttags" w:element="place">
        <w:smartTag w:uri="urn:schemas-microsoft-com:office:smarttags" w:element="country-region">
          <w:r w:rsidRPr="00C8061B">
            <w:rPr>
              <w:i/>
              <w:sz w:val="20"/>
            </w:rPr>
            <w:t>Mexico</w:t>
          </w:r>
        </w:smartTag>
      </w:smartTag>
      <w:r w:rsidRPr="00C8061B">
        <w:rPr>
          <w:sz w:val="20"/>
        </w:rPr>
        <w:t xml:space="preserve">.  </w:t>
      </w:r>
      <w:r w:rsidRPr="00C8061B">
        <w:rPr>
          <w:i/>
          <w:sz w:val="20"/>
        </w:rPr>
        <w:t>Vol. 2</w:t>
      </w:r>
      <w:r w:rsidRPr="00C8061B">
        <w:rPr>
          <w:sz w:val="20"/>
        </w:rPr>
        <w:t xml:space="preserve">, </w:t>
      </w:r>
      <w:r w:rsidRPr="00C8061B">
        <w:rPr>
          <w:i/>
          <w:sz w:val="20"/>
        </w:rPr>
        <w:t>Pteridophytes and Gymnosperms</w:t>
      </w:r>
      <w:r w:rsidRPr="00C8061B">
        <w:rPr>
          <w:sz w:val="20"/>
        </w:rPr>
        <w:t xml:space="preserve">.  </w:t>
      </w:r>
      <w:smartTag w:uri="urn:schemas-microsoft-com:office:smarttags" w:element="PlaceName">
        <w:r w:rsidRPr="00C8061B">
          <w:rPr>
            <w:sz w:val="20"/>
          </w:rPr>
          <w:t>Oxford</w:t>
        </w:r>
      </w:smartTag>
      <w:r w:rsidRPr="00C8061B">
        <w:rPr>
          <w:sz w:val="20"/>
        </w:rPr>
        <w:t xml:space="preserve"> </w:t>
      </w:r>
      <w:smartTag w:uri="urn:schemas-microsoft-com:office:smarttags" w:element="PlaceType">
        <w:r w:rsidRPr="00C8061B">
          <w:rPr>
            <w:sz w:val="20"/>
          </w:rPr>
          <w:t>Univ.</w:t>
        </w:r>
      </w:smartTag>
      <w:r w:rsidRPr="00C8061B">
        <w:rPr>
          <w:sz w:val="20"/>
        </w:rPr>
        <w:t xml:space="preserve"> Press, </w:t>
      </w:r>
      <w:smartTag w:uri="urn:schemas-microsoft-com:office:smarttags" w:element="place">
        <w:smartTag w:uri="urn:schemas-microsoft-com:office:smarttags" w:element="City">
          <w:r w:rsidRPr="00C8061B">
            <w:rPr>
              <w:sz w:val="20"/>
            </w:rPr>
            <w:t>New York</w:t>
          </w:r>
        </w:smartTag>
        <w:r w:rsidRPr="00C8061B">
          <w:rPr>
            <w:sz w:val="20"/>
          </w:rPr>
          <w:t xml:space="preserve">, </w:t>
        </w:r>
        <w:smartTag w:uri="urn:schemas-microsoft-com:office:smarttags" w:element="State">
          <w:r w:rsidRPr="00C8061B">
            <w:rPr>
              <w:sz w:val="20"/>
            </w:rPr>
            <w:t>New York</w:t>
          </w:r>
        </w:smartTag>
      </w:smartTag>
      <w:r w:rsidRPr="00C8061B">
        <w:rPr>
          <w:sz w:val="20"/>
        </w:rPr>
        <w:t>.  &lt;http://hua.huh.harvard.edu/cgi-bin/Flora/flora.pl?FLORA_ID=12395&gt;</w:t>
      </w:r>
    </w:p>
    <w:p w:rsidR="00C8061B" w:rsidRPr="00C8061B" w:rsidRDefault="00C8061B" w:rsidP="00C8061B">
      <w:pPr>
        <w:jc w:val="left"/>
        <w:rPr>
          <w:sz w:val="20"/>
        </w:rPr>
      </w:pPr>
    </w:p>
    <w:p w:rsidR="00C8061B" w:rsidRPr="00C8061B" w:rsidRDefault="00C8061B" w:rsidP="00C8061B">
      <w:pPr>
        <w:jc w:val="left"/>
        <w:rPr>
          <w:sz w:val="20"/>
        </w:rPr>
      </w:pPr>
      <w:r w:rsidRPr="00C8061B">
        <w:rPr>
          <w:sz w:val="20"/>
        </w:rPr>
        <w:t xml:space="preserve">Rehder, A.J. 1949.  </w:t>
      </w:r>
      <w:r w:rsidRPr="00C8061B">
        <w:rPr>
          <w:i/>
          <w:sz w:val="20"/>
        </w:rPr>
        <w:t>Bibliography of cultivated trees and shrubs hardy in the cooler temperate regions of the Northern Hemisphere</w:t>
      </w:r>
      <w:r w:rsidRPr="00C8061B">
        <w:rPr>
          <w:sz w:val="20"/>
        </w:rPr>
        <w:t xml:space="preserve">.  Jamaica Plain.  </w:t>
      </w:r>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Prepared By</w:t>
      </w:r>
    </w:p>
    <w:p w:rsidR="00C8061B" w:rsidRPr="00C8061B" w:rsidRDefault="00C8061B" w:rsidP="00C8061B">
      <w:pPr>
        <w:jc w:val="left"/>
        <w:rPr>
          <w:sz w:val="20"/>
        </w:rPr>
      </w:pPr>
      <w:r w:rsidRPr="00C8061B">
        <w:rPr>
          <w:i/>
          <w:sz w:val="20"/>
        </w:rPr>
        <w:t>Guy Nesom</w:t>
      </w:r>
    </w:p>
    <w:p w:rsidR="00C8061B" w:rsidRPr="00C8061B" w:rsidRDefault="00C8061B" w:rsidP="00C8061B">
      <w:pPr>
        <w:jc w:val="left"/>
        <w:rPr>
          <w:sz w:val="20"/>
        </w:rPr>
      </w:pPr>
      <w:r w:rsidRPr="00C8061B">
        <w:rPr>
          <w:sz w:val="20"/>
        </w:rPr>
        <w:t xml:space="preserve">Formerly BONAP, </w:t>
      </w:r>
      <w:smartTag w:uri="urn:schemas-microsoft-com:office:smarttags" w:element="place">
        <w:smartTag w:uri="urn:schemas-microsoft-com:office:smarttags" w:element="PlaceName">
          <w:r w:rsidRPr="00C8061B">
            <w:rPr>
              <w:sz w:val="20"/>
            </w:rPr>
            <w:t>North Carolina</w:t>
          </w:r>
        </w:smartTag>
        <w:r w:rsidRPr="00C8061B">
          <w:rPr>
            <w:sz w:val="20"/>
          </w:rPr>
          <w:t xml:space="preserve"> </w:t>
        </w:r>
        <w:smartTag w:uri="urn:schemas-microsoft-com:office:smarttags" w:element="PlaceType">
          <w:r w:rsidRPr="00C8061B">
            <w:rPr>
              <w:sz w:val="20"/>
            </w:rPr>
            <w:t>Botanical Garden</w:t>
          </w:r>
        </w:smartTag>
      </w:smartTag>
    </w:p>
    <w:p w:rsidR="00C8061B" w:rsidRPr="00C8061B" w:rsidRDefault="00C8061B" w:rsidP="00C8061B">
      <w:pPr>
        <w:jc w:val="left"/>
        <w:rPr>
          <w:sz w:val="20"/>
        </w:rPr>
      </w:pPr>
      <w:smartTag w:uri="urn:schemas-microsoft-com:office:smarttags" w:element="PlaceType">
        <w:r w:rsidRPr="00C8061B">
          <w:rPr>
            <w:sz w:val="20"/>
          </w:rPr>
          <w:t>University</w:t>
        </w:r>
      </w:smartTag>
      <w:r w:rsidRPr="00C8061B">
        <w:rPr>
          <w:sz w:val="20"/>
        </w:rPr>
        <w:t xml:space="preserve"> of </w:t>
      </w:r>
      <w:smartTag w:uri="urn:schemas-microsoft-com:office:smarttags" w:element="PlaceName">
        <w:r w:rsidRPr="00C8061B">
          <w:rPr>
            <w:sz w:val="20"/>
          </w:rPr>
          <w:t>North Carolina</w:t>
        </w:r>
      </w:smartTag>
      <w:r w:rsidRPr="00C8061B">
        <w:rPr>
          <w:sz w:val="20"/>
        </w:rPr>
        <w:t xml:space="preserve">, </w:t>
      </w:r>
      <w:smartTag w:uri="urn:schemas-microsoft-com:office:smarttags" w:element="place">
        <w:smartTag w:uri="urn:schemas-microsoft-com:office:smarttags" w:element="City">
          <w:r w:rsidRPr="00C8061B">
            <w:rPr>
              <w:sz w:val="20"/>
            </w:rPr>
            <w:t>Chapel Hill</w:t>
          </w:r>
        </w:smartTag>
        <w:r w:rsidRPr="00C8061B">
          <w:rPr>
            <w:sz w:val="20"/>
          </w:rPr>
          <w:t xml:space="preserve">, </w:t>
        </w:r>
        <w:smartTag w:uri="urn:schemas-microsoft-com:office:smarttags" w:element="State">
          <w:r w:rsidRPr="00C8061B">
            <w:rPr>
              <w:sz w:val="20"/>
            </w:rPr>
            <w:t>North Carolina</w:t>
          </w:r>
        </w:smartTag>
      </w:smartTag>
    </w:p>
    <w:p w:rsidR="00C8061B" w:rsidRPr="00C8061B" w:rsidRDefault="00C8061B" w:rsidP="00C8061B">
      <w:pPr>
        <w:jc w:val="left"/>
        <w:rPr>
          <w:sz w:val="20"/>
        </w:rPr>
      </w:pPr>
    </w:p>
    <w:p w:rsidR="00C8061B" w:rsidRPr="00C8061B" w:rsidRDefault="00C8061B" w:rsidP="00C8061B">
      <w:pPr>
        <w:pStyle w:val="Header"/>
        <w:jc w:val="left"/>
        <w:rPr>
          <w:b/>
          <w:bCs/>
          <w:sz w:val="20"/>
        </w:rPr>
      </w:pPr>
      <w:r w:rsidRPr="00C8061B">
        <w:rPr>
          <w:b/>
          <w:bCs/>
          <w:sz w:val="20"/>
        </w:rPr>
        <w:t>Species Coordinator</w:t>
      </w:r>
    </w:p>
    <w:p w:rsidR="00C8061B" w:rsidRPr="00C8061B" w:rsidRDefault="00C8061B" w:rsidP="00C8061B">
      <w:pPr>
        <w:pStyle w:val="Footer"/>
        <w:tabs>
          <w:tab w:val="clear" w:pos="4320"/>
          <w:tab w:val="clear" w:pos="8640"/>
        </w:tabs>
        <w:jc w:val="left"/>
        <w:rPr>
          <w:i/>
          <w:sz w:val="20"/>
        </w:rPr>
      </w:pPr>
      <w:smartTag w:uri="urn:schemas-microsoft-com:office:smarttags" w:element="City">
        <w:r w:rsidRPr="00C8061B">
          <w:rPr>
            <w:i/>
            <w:sz w:val="20"/>
          </w:rPr>
          <w:t>Lincoln</w:t>
        </w:r>
      </w:smartTag>
      <w:r w:rsidRPr="00C8061B">
        <w:rPr>
          <w:i/>
          <w:sz w:val="20"/>
        </w:rPr>
        <w:t xml:space="preserve"> </w:t>
      </w:r>
      <w:smartTag w:uri="urn:schemas-microsoft-com:office:smarttags" w:element="City">
        <w:smartTag w:uri="urn:schemas-microsoft-com:office:smarttags" w:element="place">
          <w:r w:rsidRPr="00C8061B">
            <w:rPr>
              <w:i/>
              <w:sz w:val="20"/>
            </w:rPr>
            <w:t>Moore</w:t>
          </w:r>
        </w:smartTag>
      </w:smartTag>
    </w:p>
    <w:p w:rsidR="00C8061B" w:rsidRPr="00C8061B" w:rsidRDefault="00C8061B" w:rsidP="00C8061B">
      <w:pPr>
        <w:pStyle w:val="Footer"/>
        <w:tabs>
          <w:tab w:val="clear" w:pos="4320"/>
          <w:tab w:val="clear" w:pos="8640"/>
        </w:tabs>
        <w:jc w:val="left"/>
        <w:rPr>
          <w:sz w:val="20"/>
        </w:rPr>
      </w:pPr>
      <w:r w:rsidRPr="00C8061B">
        <w:rPr>
          <w:sz w:val="20"/>
        </w:rPr>
        <w:t xml:space="preserve">USDA, NRCS, </w:t>
      </w:r>
      <w:smartTag w:uri="urn:schemas-microsoft-com:office:smarttags" w:element="PlaceName">
        <w:r w:rsidRPr="00C8061B">
          <w:rPr>
            <w:sz w:val="20"/>
          </w:rPr>
          <w:t>National</w:t>
        </w:r>
      </w:smartTag>
      <w:r w:rsidRPr="00C8061B">
        <w:rPr>
          <w:sz w:val="20"/>
        </w:rPr>
        <w:t xml:space="preserve"> </w:t>
      </w:r>
      <w:smartTag w:uri="urn:schemas-microsoft-com:office:smarttags" w:element="PlaceName">
        <w:r w:rsidRPr="00C8061B">
          <w:rPr>
            <w:sz w:val="20"/>
          </w:rPr>
          <w:t>Plant</w:t>
        </w:r>
      </w:smartTag>
      <w:r w:rsidRPr="00C8061B">
        <w:rPr>
          <w:sz w:val="20"/>
        </w:rPr>
        <w:t xml:space="preserve"> </w:t>
      </w:r>
      <w:smartTag w:uri="urn:schemas-microsoft-com:office:smarttags" w:element="PlaceName">
        <w:r w:rsidRPr="00C8061B">
          <w:rPr>
            <w:sz w:val="20"/>
          </w:rPr>
          <w:t>Data</w:t>
        </w:r>
      </w:smartTag>
      <w:r w:rsidRPr="00C8061B">
        <w:rPr>
          <w:sz w:val="20"/>
        </w:rPr>
        <w:t xml:space="preserve"> </w:t>
      </w:r>
      <w:smartTag w:uri="urn:schemas-microsoft-com:office:smarttags" w:element="PlaceType">
        <w:r w:rsidRPr="00C8061B">
          <w:rPr>
            <w:sz w:val="20"/>
          </w:rPr>
          <w:t>Center</w:t>
        </w:r>
      </w:smartTag>
      <w:r w:rsidRPr="00C8061B">
        <w:rPr>
          <w:sz w:val="20"/>
        </w:rPr>
        <w:t xml:space="preserve">, </w:t>
      </w:r>
      <w:smartTag w:uri="urn:schemas-microsoft-com:office:smarttags" w:element="place">
        <w:smartTag w:uri="urn:schemas-microsoft-com:office:smarttags" w:element="City">
          <w:r w:rsidRPr="00C8061B">
            <w:rPr>
              <w:sz w:val="20"/>
            </w:rPr>
            <w:t>Baton Rouge</w:t>
          </w:r>
        </w:smartTag>
        <w:r w:rsidRPr="00C8061B">
          <w:rPr>
            <w:sz w:val="20"/>
          </w:rPr>
          <w:t xml:space="preserve">, </w:t>
        </w:r>
        <w:smartTag w:uri="urn:schemas-microsoft-com:office:smarttags" w:element="State">
          <w:r w:rsidRPr="00C8061B">
            <w:rPr>
              <w:sz w:val="20"/>
            </w:rPr>
            <w:t>Louisiana</w:t>
          </w:r>
        </w:smartTag>
      </w:smartTag>
    </w:p>
    <w:p w:rsidR="00C8061B" w:rsidRDefault="00C8061B" w:rsidP="00C8061B">
      <w:pPr>
        <w:pStyle w:val="Footer"/>
        <w:tabs>
          <w:tab w:val="clear" w:pos="4320"/>
          <w:tab w:val="clear" w:pos="8640"/>
        </w:tabs>
      </w:pPr>
    </w:p>
    <w:p w:rsidR="00C8061B" w:rsidRDefault="00C8061B" w:rsidP="00C8061B">
      <w:pPr>
        <w:jc w:val="left"/>
        <w:rPr>
          <w:sz w:val="16"/>
        </w:rPr>
      </w:pPr>
      <w:r>
        <w:rPr>
          <w:sz w:val="16"/>
        </w:rPr>
        <w:t>Edited: 13nov00 jsp;10feb03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06D" w:rsidRDefault="00B8006D">
      <w:r>
        <w:separator/>
      </w:r>
    </w:p>
  </w:endnote>
  <w:endnote w:type="continuationSeparator" w:id="0">
    <w:p w:rsidR="00B8006D" w:rsidRDefault="00B800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06D" w:rsidRDefault="00B8006D">
      <w:r>
        <w:separator/>
      </w:r>
    </w:p>
  </w:footnote>
  <w:footnote w:type="continuationSeparator" w:id="0">
    <w:p w:rsidR="00B8006D" w:rsidRDefault="00B800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40B8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B603B"/>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4037"/>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006D"/>
    <w:rsid w:val="00B841F9"/>
    <w:rsid w:val="00B8425D"/>
    <w:rsid w:val="00BD616F"/>
    <w:rsid w:val="00BE5356"/>
    <w:rsid w:val="00BF44A8"/>
    <w:rsid w:val="00C40B84"/>
    <w:rsid w:val="00C71B7B"/>
    <w:rsid w:val="00C8061B"/>
    <w:rsid w:val="00C81773"/>
    <w:rsid w:val="00CD49CC"/>
    <w:rsid w:val="00CF06F8"/>
    <w:rsid w:val="00CF7EC1"/>
    <w:rsid w:val="00D62818"/>
    <w:rsid w:val="00DD41E3"/>
    <w:rsid w:val="00E93233"/>
    <w:rsid w:val="00EE22E0"/>
    <w:rsid w:val="00F1350F"/>
    <w:rsid w:val="00F21231"/>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ATLANTIC WHITE CEDAR</vt:lpstr>
    </vt:vector>
  </TitlesOfParts>
  <Company>USDA NRCS National Plant Data Center</Company>
  <LinksUpToDate>false</LinksUpToDate>
  <CharactersWithSpaces>8152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WHITE CEDAR</dc:title>
  <dc:subject>Chamaecyparis thyoides (L.) B.S.P.</dc:subject>
  <dc:creator>William Farrell</dc:creator>
  <cp:keywords/>
  <cp:lastModifiedBy>William Farrell</cp:lastModifiedBy>
  <cp:revision>2</cp:revision>
  <cp:lastPrinted>2003-06-09T21:39:00Z</cp:lastPrinted>
  <dcterms:created xsi:type="dcterms:W3CDTF">2011-01-25T23:18:00Z</dcterms:created>
  <dcterms:modified xsi:type="dcterms:W3CDTF">2011-01-25T23:18:00Z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