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21067" w:rsidP="000578C2">
            <w:pPr>
              <w:pStyle w:val="TitleHeader"/>
              <w:rPr>
                <w:i/>
              </w:rPr>
            </w:pPr>
            <w:r>
              <w:lastRenderedPageBreak/>
              <w:t>composite dropseed</w:t>
            </w:r>
          </w:p>
        </w:tc>
      </w:tr>
      <w:tr w:rsidR="00CD49CC">
        <w:tblPrEx>
          <w:tblCellMar>
            <w:top w:w="0" w:type="dxa"/>
            <w:bottom w:w="0" w:type="dxa"/>
          </w:tblCellMar>
        </w:tblPrEx>
        <w:tc>
          <w:tcPr>
            <w:tcW w:w="4410" w:type="dxa"/>
          </w:tcPr>
          <w:p w:rsidR="00CD49CC" w:rsidRPr="008F3D5A" w:rsidRDefault="00D21067" w:rsidP="008F3D5A">
            <w:pPr>
              <w:pStyle w:val="Titlesubheader1"/>
              <w:rPr>
                <w:i/>
              </w:rPr>
            </w:pPr>
            <w:r>
              <w:rPr>
                <w:i/>
              </w:rPr>
              <w:t>Sporobolus compositus</w:t>
            </w:r>
            <w:r w:rsidR="000F1970" w:rsidRPr="008F3D5A">
              <w:t xml:space="preserve"> </w:t>
            </w:r>
            <w:r>
              <w:t>(Poir.) Merr.</w:t>
            </w:r>
            <w:r w:rsidR="006564CC">
              <w:t xml:space="preserve"> var. </w:t>
            </w:r>
            <w:r w:rsidR="006564CC" w:rsidRPr="006564CC">
              <w:rPr>
                <w:i/>
              </w:rPr>
              <w:t>compositus</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bookmarkStart w:id="0" w:name="OLE_LINK2"/>
            <w:bookmarkStart w:id="1" w:name="OLE_LINK3"/>
            <w:r w:rsidR="00D21067">
              <w:t>SPCOC2</w:t>
            </w:r>
            <w:bookmarkEnd w:id="0"/>
            <w:bookmarkEnd w:id="1"/>
          </w:p>
        </w:tc>
      </w:tr>
    </w:tbl>
    <w:p w:rsidR="00CD49CC" w:rsidRPr="004A50AC" w:rsidRDefault="00CD49CC" w:rsidP="004A50AC">
      <w:pPr>
        <w:jc w:val="left"/>
        <w:rPr>
          <w:sz w:val="20"/>
        </w:rPr>
      </w:pPr>
    </w:p>
    <w:p w:rsidR="00CD49CC" w:rsidRPr="00D21067" w:rsidRDefault="001478F1" w:rsidP="00F802DB">
      <w:pPr>
        <w:pStyle w:val="Header2"/>
        <w:rPr>
          <w:i w:val="0"/>
        </w:rPr>
      </w:pPr>
      <w:r>
        <w:t xml:space="preserve">Contributed by: </w:t>
      </w:r>
      <w:smartTag w:uri="urn:schemas-microsoft-com:office:smarttags" w:element="PlaceName">
        <w:r w:rsidR="00D21067" w:rsidRPr="00D1017E">
          <w:rPr>
            <w:i w:val="0"/>
          </w:rPr>
          <w:t>USDA</w:t>
        </w:r>
      </w:smartTag>
      <w:r w:rsidR="00D21067">
        <w:rPr>
          <w:i w:val="0"/>
        </w:rPr>
        <w:t xml:space="preserve"> </w:t>
      </w:r>
      <w:smartTag w:uri="urn:schemas-microsoft-com:office:smarttags" w:element="PlaceName">
        <w:r w:rsidR="00D21067">
          <w:rPr>
            <w:i w:val="0"/>
          </w:rPr>
          <w:t>NRCS</w:t>
        </w:r>
      </w:smartTag>
      <w:r w:rsidR="00D21067">
        <w:rPr>
          <w:i w:val="0"/>
        </w:rPr>
        <w:t xml:space="preserve"> </w:t>
      </w:r>
      <w:smartTag w:uri="urn:schemas-microsoft-com:office:smarttags" w:element="PlaceName">
        <w:r w:rsidR="00D21067">
          <w:rPr>
            <w:i w:val="0"/>
          </w:rPr>
          <w:t>Elsberry</w:t>
        </w:r>
      </w:smartTag>
      <w:r w:rsidR="00D21067">
        <w:rPr>
          <w:i w:val="0"/>
        </w:rPr>
        <w:t xml:space="preserve"> </w:t>
      </w:r>
      <w:smartTag w:uri="urn:schemas-microsoft-com:office:smarttags" w:element="PlaceName">
        <w:r w:rsidR="00D21067">
          <w:rPr>
            <w:i w:val="0"/>
          </w:rPr>
          <w:t>Plant</w:t>
        </w:r>
      </w:smartTag>
      <w:r w:rsidR="00D21067">
        <w:rPr>
          <w:i w:val="0"/>
        </w:rPr>
        <w:t xml:space="preserve"> </w:t>
      </w:r>
      <w:smartTag w:uri="urn:schemas-microsoft-com:office:smarttags" w:element="PlaceName">
        <w:r w:rsidR="00D21067">
          <w:rPr>
            <w:i w:val="0"/>
          </w:rPr>
          <w:t>Materials</w:t>
        </w:r>
      </w:smartTag>
      <w:r w:rsidR="00D21067">
        <w:rPr>
          <w:i w:val="0"/>
        </w:rPr>
        <w:t xml:space="preserve"> </w:t>
      </w:r>
      <w:smartTag w:uri="urn:schemas-microsoft-com:office:smarttags" w:element="PlaceType">
        <w:r w:rsidR="00D21067">
          <w:rPr>
            <w:i w:val="0"/>
          </w:rPr>
          <w:t>Center</w:t>
        </w:r>
      </w:smartTag>
      <w:r w:rsidR="00D21067">
        <w:rPr>
          <w:i w:val="0"/>
        </w:rPr>
        <w:t xml:space="preserve"> and the </w:t>
      </w:r>
      <w:smartTag w:uri="urn:schemas-microsoft-com:office:smarttags" w:element="place">
        <w:smartTag w:uri="urn:schemas-microsoft-com:office:smarttags" w:element="PlaceName">
          <w:r w:rsidR="00D21067">
            <w:rPr>
              <w:i w:val="0"/>
            </w:rPr>
            <w:t>National</w:t>
          </w:r>
        </w:smartTag>
        <w:r w:rsidR="00D21067">
          <w:rPr>
            <w:i w:val="0"/>
          </w:rPr>
          <w:t xml:space="preserve"> </w:t>
        </w:r>
        <w:smartTag w:uri="urn:schemas-microsoft-com:office:smarttags" w:element="PlaceName">
          <w:r w:rsidR="00D21067">
            <w:rPr>
              <w:i w:val="0"/>
            </w:rPr>
            <w:t>Plant</w:t>
          </w:r>
        </w:smartTag>
        <w:r w:rsidR="00D21067">
          <w:rPr>
            <w:i w:val="0"/>
          </w:rPr>
          <w:t xml:space="preserve"> </w:t>
        </w:r>
        <w:smartTag w:uri="urn:schemas-microsoft-com:office:smarttags" w:element="PlaceName">
          <w:r w:rsidR="00D21067">
            <w:rPr>
              <w:i w:val="0"/>
            </w:rPr>
            <w:t>Data</w:t>
          </w:r>
        </w:smartTag>
        <w:r w:rsidR="00D21067">
          <w:rPr>
            <w:i w:val="0"/>
          </w:rPr>
          <w:t xml:space="preserve"> </w:t>
        </w:r>
        <w:smartTag w:uri="urn:schemas-microsoft-com:office:smarttags" w:element="PlaceType">
          <w:r w:rsidR="00D21067">
            <w:rPr>
              <w:i w:val="0"/>
            </w:rPr>
            <w:t>Center</w:t>
          </w:r>
        </w:smartTag>
      </w:smartTag>
    </w:p>
    <w:p w:rsidR="00CD49CC" w:rsidRPr="004A50AC" w:rsidRDefault="00D21067" w:rsidP="004A50AC">
      <w:pPr>
        <w:jc w:val="left"/>
        <w:rPr>
          <w:sz w:val="20"/>
        </w:rPr>
      </w:pPr>
      <w:r>
        <w:rPr>
          <w:noProof/>
          <w:sz w:val="20"/>
        </w:rPr>
        <w:pict>
          <v:shapetype id="_x0000_t202" coordsize="21600,21600" o:spt="202" path="m,l,21600r21600,l21600,xe">
            <v:stroke joinstyle="miter"/>
            <v:path gradientshapeok="t" o:connecttype="rect"/>
          </v:shapetype>
          <v:shape id="_x0000_s1062" type="#_x0000_t202" style="position:absolute;margin-left:4.05pt;margin-top:11.6pt;width:3in;height:334.1pt;z-index:251657728" stroked="f">
            <v:textbox style="mso-next-textbox:#_x0000_s1062">
              <w:txbxContent>
                <w:p w:rsidR="00F52BD1" w:rsidRDefault="005F2FD7" w:rsidP="00F52BD1">
                  <w:r>
                    <w:rPr>
                      <w:noProof/>
                    </w:rPr>
                    <w:drawing>
                      <wp:inline distT="0" distB="0" distL="0" distR="0">
                        <wp:extent cx="2562225" cy="3867150"/>
                        <wp:effectExtent l="19050" t="0" r="9525" b="0"/>
                        <wp:docPr id="3" name="Picture 3" descr="ha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bit"/>
                                <pic:cNvPicPr>
                                  <a:picLocks noChangeAspect="1" noChangeArrowheads="1"/>
                                </pic:cNvPicPr>
                              </pic:nvPicPr>
                              <pic:blipFill>
                                <a:blip r:embed="rId8"/>
                                <a:srcRect/>
                                <a:stretch>
                                  <a:fillRect/>
                                </a:stretch>
                              </pic:blipFill>
                              <pic:spPr bwMode="auto">
                                <a:xfrm>
                                  <a:off x="0" y="0"/>
                                  <a:ext cx="2562225" cy="3867150"/>
                                </a:xfrm>
                                <a:prstGeom prst="rect">
                                  <a:avLst/>
                                </a:prstGeom>
                                <a:noFill/>
                                <a:ln w="9525">
                                  <a:noFill/>
                                  <a:miter lim="800000"/>
                                  <a:headEnd/>
                                  <a:tailEnd/>
                                </a:ln>
                              </pic:spPr>
                            </pic:pic>
                          </a:graphicData>
                        </a:graphic>
                      </wp:inline>
                    </w:drawing>
                  </w:r>
                </w:p>
                <w:p w:rsidR="00F52BD1" w:rsidRDefault="00D21067" w:rsidP="00F52BD1">
                  <w:pPr>
                    <w:jc w:val="right"/>
                    <w:rPr>
                      <w:sz w:val="16"/>
                      <w:szCs w:val="16"/>
                    </w:rPr>
                  </w:pPr>
                  <w:r>
                    <w:rPr>
                      <w:sz w:val="16"/>
                      <w:szCs w:val="16"/>
                    </w:rPr>
                    <w:t>Ann Gardner</w:t>
                  </w:r>
                </w:p>
                <w:p w:rsidR="00D21067" w:rsidRPr="00E84467" w:rsidRDefault="00D21067" w:rsidP="00F52BD1">
                  <w:pPr>
                    <w:jc w:val="right"/>
                    <w:rPr>
                      <w:sz w:val="16"/>
                      <w:szCs w:val="16"/>
                    </w:rPr>
                  </w:pPr>
                  <w:smartTag w:uri="urn:schemas-microsoft-com:office:smarttags" w:element="City">
                    <w:r>
                      <w:rPr>
                        <w:sz w:val="16"/>
                        <w:szCs w:val="16"/>
                      </w:rPr>
                      <w:t>Ada</w:t>
                    </w:r>
                  </w:smartTag>
                  <w:r>
                    <w:rPr>
                      <w:sz w:val="16"/>
                      <w:szCs w:val="16"/>
                    </w:rPr>
                    <w:t xml:space="preserve"> Herbarium, </w:t>
                  </w:r>
                  <w:smartTag w:uri="urn:schemas-microsoft-com:office:smarttags" w:element="place">
                    <w:smartTag w:uri="urn:schemas-microsoft-com:office:smarttags" w:element="PlaceName">
                      <w:r>
                        <w:rPr>
                          <w:sz w:val="16"/>
                          <w:szCs w:val="16"/>
                        </w:rPr>
                        <w:t>Iowa</w:t>
                      </w:r>
                    </w:smartTag>
                    <w:r>
                      <w:rPr>
                        <w:sz w:val="16"/>
                        <w:szCs w:val="16"/>
                      </w:rPr>
                      <w:t xml:space="preserve"> </w:t>
                    </w:r>
                    <w:smartTag w:uri="urn:schemas-microsoft-com:office:smarttags" w:element="PlaceType">
                      <w:r>
                        <w:rPr>
                          <w:sz w:val="16"/>
                          <w:szCs w:val="16"/>
                        </w:rPr>
                        <w:t>State</w:t>
                      </w:r>
                    </w:smartTag>
                    <w:r>
                      <w:rPr>
                        <w:sz w:val="16"/>
                        <w:szCs w:val="16"/>
                      </w:rPr>
                      <w:t xml:space="preserve"> </w:t>
                    </w:r>
                    <w:smartTag w:uri="urn:schemas-microsoft-com:office:smarttags" w:element="PlaceType">
                      <w:r>
                        <w:rPr>
                          <w:sz w:val="16"/>
                          <w:szCs w:val="16"/>
                        </w:rPr>
                        <w:t>University</w:t>
                      </w:r>
                    </w:smartTag>
                  </w:smartTag>
                </w:p>
              </w:txbxContent>
            </v:textbox>
            <w10:wrap type="square"/>
          </v:shape>
        </w:pict>
      </w:r>
    </w:p>
    <w:p w:rsidR="00A06FE6" w:rsidRPr="00A06FE6" w:rsidRDefault="00A06FE6" w:rsidP="00A06FE6">
      <w:pPr>
        <w:jc w:val="left"/>
        <w:rPr>
          <w:sz w:val="20"/>
        </w:rPr>
      </w:pPr>
    </w:p>
    <w:p w:rsidR="00CD49CC" w:rsidRDefault="000F1970" w:rsidP="00F802DB">
      <w:pPr>
        <w:pStyle w:val="Header3"/>
      </w:pPr>
      <w:r>
        <w:t>Alternate Names</w:t>
      </w:r>
    </w:p>
    <w:p w:rsidR="00D21067" w:rsidRDefault="00D21067" w:rsidP="00D21067">
      <w:pPr>
        <w:pStyle w:val="Bodytext0"/>
      </w:pPr>
      <w:r>
        <w:rPr>
          <w:i/>
          <w:iCs/>
        </w:rPr>
        <w:t>Sporobolus</w:t>
      </w:r>
      <w:r>
        <w:t xml:space="preserve"> </w:t>
      </w:r>
      <w:r>
        <w:rPr>
          <w:i/>
          <w:iCs/>
        </w:rPr>
        <w:t>asper</w:t>
      </w:r>
      <w:r>
        <w:t xml:space="preserve">, </w:t>
      </w:r>
      <w:r>
        <w:rPr>
          <w:i/>
          <w:iCs/>
        </w:rPr>
        <w:t>Sporobolus</w:t>
      </w:r>
      <w:r>
        <w:t xml:space="preserve"> </w:t>
      </w:r>
      <w:r>
        <w:rPr>
          <w:i/>
          <w:iCs/>
        </w:rPr>
        <w:t>asper</w:t>
      </w:r>
      <w:r>
        <w:t xml:space="preserve"> var. </w:t>
      </w:r>
      <w:r>
        <w:rPr>
          <w:i/>
          <w:iCs/>
        </w:rPr>
        <w:t>hookeri</w:t>
      </w:r>
      <w:r>
        <w:t>, rough dropseed, tall dropseed, zacaton</w:t>
      </w:r>
    </w:p>
    <w:p w:rsidR="00712AC4" w:rsidRDefault="00712AC4" w:rsidP="00F802DB">
      <w:pPr>
        <w:pStyle w:val="Bodytext0"/>
      </w:pPr>
    </w:p>
    <w:p w:rsidR="00CD49CC" w:rsidRDefault="00CD49CC" w:rsidP="00F802DB">
      <w:pPr>
        <w:pStyle w:val="Header3"/>
      </w:pPr>
      <w:r>
        <w:t>Uses</w:t>
      </w:r>
    </w:p>
    <w:p w:rsidR="00D21067" w:rsidRDefault="00D21067" w:rsidP="00D21067">
      <w:pPr>
        <w:pStyle w:val="Bodytext0"/>
      </w:pPr>
      <w:r w:rsidRPr="00BF0188">
        <w:rPr>
          <w:i/>
        </w:rPr>
        <w:t>Forage:</w:t>
      </w:r>
      <w:r>
        <w:t xml:space="preserve"> Composite dropseed is a minor portion of the vegetative composition in most of the areas in which it grows.  It is not a particularly valuable forage species. The forage value of composite dropseed, compared to other grasses, is fair for livestock and poor for wildlife. It is most palatable in </w:t>
      </w:r>
      <w:r>
        <w:lastRenderedPageBreak/>
        <w:t>the spring when plants are in the vegetative develop</w:t>
      </w:r>
      <w:smartTag w:uri="urn:schemas-microsoft-com:office:smarttags" w:element="PersonName">
        <w:r>
          <w:t>me</w:t>
        </w:r>
      </w:smartTag>
      <w:r>
        <w:t xml:space="preserve">ntal stage and palatability declines as culms mature. In </w:t>
      </w:r>
      <w:smartTag w:uri="urn:schemas-microsoft-com:office:smarttags" w:element="place">
        <w:smartTag w:uri="urn:schemas-microsoft-com:office:smarttags" w:element="State">
          <w:r>
            <w:t>Kansas</w:t>
          </w:r>
        </w:smartTag>
      </w:smartTag>
      <w:r>
        <w:t xml:space="preserve"> composite dropseed tends to increase in overgrazed bluestem pastures, but it tends to decrease in short-grass prairies. </w:t>
      </w:r>
    </w:p>
    <w:p w:rsidR="00D21067" w:rsidRDefault="00D21067" w:rsidP="00D21067">
      <w:pPr>
        <w:pStyle w:val="Bodytext0"/>
      </w:pPr>
    </w:p>
    <w:p w:rsidR="00D21067" w:rsidRDefault="00D21067" w:rsidP="00D21067">
      <w:pPr>
        <w:pStyle w:val="Bodytext0"/>
      </w:pPr>
      <w:r w:rsidRPr="00EB1564">
        <w:rPr>
          <w:i/>
        </w:rPr>
        <w:t>Prairie restoration and Roadside plantings:</w:t>
      </w:r>
      <w:r>
        <w:t xml:space="preserve"> On upland hardwood forest-tallgrass prairies in central </w:t>
      </w:r>
      <w:smartTag w:uri="urn:schemas-microsoft-com:office:smarttags" w:element="place">
        <w:smartTag w:uri="urn:schemas-microsoft-com:office:smarttags" w:element="State">
          <w:r>
            <w:t>Oklahoma</w:t>
          </w:r>
        </w:smartTag>
      </w:smartTag>
      <w:r>
        <w:t xml:space="preserve">, the diet of cottontail rabbit is dominated by composite dropseed, </w:t>
      </w:r>
      <w:r w:rsidRPr="00106F68">
        <w:t>Heller's rosette grass</w:t>
      </w:r>
      <w:r>
        <w:t xml:space="preserve"> (</w:t>
      </w:r>
      <w:r w:rsidRPr="00106F68">
        <w:rPr>
          <w:i/>
          <w:iCs/>
        </w:rPr>
        <w:t>Dichanthelium</w:t>
      </w:r>
      <w:r w:rsidRPr="00106F68">
        <w:t xml:space="preserve"> </w:t>
      </w:r>
      <w:r w:rsidRPr="00106F68">
        <w:rPr>
          <w:i/>
          <w:iCs/>
        </w:rPr>
        <w:t>oligosanthes</w:t>
      </w:r>
      <w:r>
        <w:t xml:space="preserve">), and </w:t>
      </w:r>
      <w:r w:rsidRPr="00106F68">
        <w:rPr>
          <w:i/>
        </w:rPr>
        <w:t>Croton</w:t>
      </w:r>
      <w:r>
        <w:t xml:space="preserve"> species. Disturbed habitats were maintained by removal of woody overstory vegetation with herbicide and burning. Differences in the botanical composition and quality of rabbit diets between disturbed and undisturbed habitats were of little biological significance.     </w:t>
      </w:r>
    </w:p>
    <w:p w:rsidR="00CD49CC" w:rsidRDefault="00CD49CC" w:rsidP="00F802DB">
      <w:pPr>
        <w:pStyle w:val="Bodytext0"/>
      </w:pPr>
    </w:p>
    <w:p w:rsidR="00CD49CC" w:rsidRDefault="00CD49CC" w:rsidP="00F802DB">
      <w:pPr>
        <w:pStyle w:val="Header3"/>
      </w:pPr>
      <w:bookmarkStart w:id="2"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2"/>
    <w:p w:rsidR="00712AC4" w:rsidRPr="00712AC4" w:rsidRDefault="00712AC4" w:rsidP="00F802DB">
      <w:pPr>
        <w:pStyle w:val="Header3"/>
        <w:rPr>
          <w:b w:val="0"/>
        </w:rPr>
      </w:pPr>
    </w:p>
    <w:p w:rsidR="00CD49CC" w:rsidRDefault="00CD49CC" w:rsidP="00F802DB">
      <w:pPr>
        <w:pStyle w:val="Header3"/>
      </w:pPr>
      <w:r>
        <w:t>Description</w:t>
      </w:r>
    </w:p>
    <w:p w:rsidR="00D21067" w:rsidRDefault="002375B8" w:rsidP="00D21067">
      <w:pPr>
        <w:pStyle w:val="Bodytext0"/>
      </w:pPr>
      <w:r w:rsidRPr="002375B8">
        <w:rPr>
          <w:i/>
        </w:rPr>
        <w:t>General</w:t>
      </w:r>
      <w:r>
        <w:t>:</w:t>
      </w:r>
      <w:r w:rsidR="00D21067">
        <w:t xml:space="preserve"> Grass Family (Poaceae). Composite dropseed is a</w:t>
      </w:r>
      <w:r w:rsidR="00D21067" w:rsidRPr="00F8117F">
        <w:t xml:space="preserve"> </w:t>
      </w:r>
      <w:r w:rsidR="00D21067">
        <w:t>tall (2 to 4 ft.), native, perennial, warm-season</w:t>
      </w:r>
      <w:r w:rsidR="00D21067" w:rsidRPr="00D95C73">
        <w:t xml:space="preserve"> </w:t>
      </w:r>
      <w:r w:rsidR="00D21067">
        <w:t>bunchgrass. Culms are erect, solitary or in small tufts, simple or branching, 24 to 48 inches tall, solid and glabrous.  So</w:t>
      </w:r>
      <w:smartTag w:uri="urn:schemas-microsoft-com:office:smarttags" w:element="PersonName">
        <w:r w:rsidR="00D21067">
          <w:t>me</w:t>
        </w:r>
      </w:smartTag>
      <w:r w:rsidR="00D21067">
        <w:t xml:space="preserve"> varieties have short rhizo</w:t>
      </w:r>
      <w:smartTag w:uri="urn:schemas-microsoft-com:office:smarttags" w:element="PersonName">
        <w:r w:rsidR="00D21067">
          <w:t>me</w:t>
        </w:r>
      </w:smartTag>
      <w:r w:rsidR="00D21067">
        <w:t>s. Inflorescences are narrow panicles, 2 to 12 inches long and partially to completely included in the upper sheaths. The inflorescences are either white or pale purple in coloration. Composite dropseed flowers during late sum</w:t>
      </w:r>
      <w:smartTag w:uri="urn:schemas-microsoft-com:office:smarttags" w:element="PersonName">
        <w:r w:rsidR="00D21067">
          <w:t>me</w:t>
        </w:r>
      </w:smartTag>
      <w:r w:rsidR="00D21067">
        <w:t xml:space="preserve">r to early autumn. The stems and leaves bleach whitish during winter.   </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p>
    <w:p w:rsidR="002375B8" w:rsidRDefault="002375B8" w:rsidP="00437F11">
      <w:pPr>
        <w:pStyle w:val="Bodytext0"/>
      </w:pPr>
    </w:p>
    <w:p w:rsidR="00D21067" w:rsidRDefault="002375B8" w:rsidP="00D21067">
      <w:pPr>
        <w:pStyle w:val="Bodytext0"/>
      </w:pPr>
      <w:r w:rsidRPr="002375B8">
        <w:rPr>
          <w:i/>
        </w:rPr>
        <w:t>Habitat</w:t>
      </w:r>
      <w:r>
        <w:t>:</w:t>
      </w:r>
      <w:r w:rsidR="006B4B3E">
        <w:t xml:space="preserve"> </w:t>
      </w:r>
      <w:r w:rsidR="00D21067">
        <w:t xml:space="preserve">Composite dropseed occurs on prairies and foothills on dry clayey to silty soils. It is most abundant on soils that are intermittently wet and dry. It does not grow on either deep sandy soils or on soils with a high water table. In the </w:t>
      </w:r>
      <w:smartTag w:uri="urn:schemas-microsoft-com:office:smarttags" w:element="place">
        <w:r w:rsidR="00D21067">
          <w:t>Great Basin</w:t>
        </w:r>
      </w:smartTag>
      <w:r w:rsidR="00D21067">
        <w:t xml:space="preserve"> composite dropseed grows on dry often sandy sites in Juniper communities and in fallow fields below 2,100 ft. </w:t>
      </w:r>
    </w:p>
    <w:p w:rsidR="006B4B3E" w:rsidRDefault="006B4B3E" w:rsidP="00437F11">
      <w:pPr>
        <w:pStyle w:val="Bodytext0"/>
      </w:pPr>
    </w:p>
    <w:p w:rsidR="00CD49CC" w:rsidRDefault="00CD49CC" w:rsidP="00F802DB">
      <w:pPr>
        <w:pStyle w:val="Header3"/>
      </w:pPr>
      <w:r>
        <w:t>Adaptation</w:t>
      </w:r>
    </w:p>
    <w:p w:rsidR="00D21067" w:rsidRDefault="00D21067" w:rsidP="00D21067">
      <w:pPr>
        <w:pStyle w:val="Bodytext0"/>
      </w:pPr>
      <w:r>
        <w:t xml:space="preserve">Composite dropseed is more drought tolerant than many grasses of the bluestem prairie, but it is not as </w:t>
      </w:r>
      <w:r>
        <w:lastRenderedPageBreak/>
        <w:t>drought hardy as sand dropseed (</w:t>
      </w:r>
      <w:r w:rsidRPr="0019413E">
        <w:rPr>
          <w:i/>
          <w:iCs/>
        </w:rPr>
        <w:t>Sporobolus</w:t>
      </w:r>
      <w:r w:rsidRPr="0019413E">
        <w:t xml:space="preserve"> </w:t>
      </w:r>
      <w:r w:rsidRPr="0019413E">
        <w:rPr>
          <w:i/>
          <w:iCs/>
        </w:rPr>
        <w:t>cryptandrus</w:t>
      </w:r>
      <w:r>
        <w:t xml:space="preserve">). </w:t>
      </w:r>
    </w:p>
    <w:p w:rsidR="00CD49CC" w:rsidRDefault="00CD49CC" w:rsidP="00F802DB">
      <w:pPr>
        <w:pStyle w:val="Bodytext0"/>
      </w:pPr>
    </w:p>
    <w:p w:rsidR="00CD49CC" w:rsidRDefault="00CD49CC" w:rsidP="00F802DB">
      <w:pPr>
        <w:pStyle w:val="Header3"/>
      </w:pPr>
      <w:r>
        <w:t>Establishment</w:t>
      </w:r>
    </w:p>
    <w:p w:rsidR="00D21067" w:rsidRPr="00F67395" w:rsidRDefault="00D21067" w:rsidP="00D21067">
      <w:pPr>
        <w:pStyle w:val="Header3"/>
      </w:pPr>
      <w:r w:rsidRPr="00F67395">
        <w:rPr>
          <w:b w:val="0"/>
          <w:bCs w:val="0"/>
        </w:rPr>
        <w:t>Pretreat</w:t>
      </w:r>
      <w:smartTag w:uri="urn:schemas-microsoft-com:office:smarttags" w:element="PersonName">
        <w:r w:rsidRPr="00F67395">
          <w:rPr>
            <w:b w:val="0"/>
            <w:bCs w:val="0"/>
          </w:rPr>
          <w:t>me</w:t>
        </w:r>
      </w:smartTag>
      <w:r w:rsidRPr="00F67395">
        <w:rPr>
          <w:b w:val="0"/>
          <w:bCs w:val="0"/>
        </w:rPr>
        <w:t>nt</w:t>
      </w:r>
      <w:r>
        <w:rPr>
          <w:b w:val="0"/>
          <w:bCs w:val="0"/>
        </w:rPr>
        <w:t xml:space="preserve"> of composite dropseed seeds</w:t>
      </w:r>
      <w:r w:rsidRPr="00F67395">
        <w:rPr>
          <w:b w:val="0"/>
          <w:bCs w:val="0"/>
        </w:rPr>
        <w:t xml:space="preserve"> with potassium nitrate resulted in 39% germination.</w:t>
      </w:r>
    </w:p>
    <w:p w:rsidR="00CD49CC" w:rsidRDefault="00CD49CC" w:rsidP="00F802DB">
      <w:pPr>
        <w:pStyle w:val="Bodytext0"/>
      </w:pPr>
    </w:p>
    <w:p w:rsidR="00CD49CC" w:rsidRDefault="00CD49CC" w:rsidP="00F802DB">
      <w:pPr>
        <w:pStyle w:val="Header3"/>
        <w:rPr>
          <w:rFonts w:ascii="Arial" w:hAnsi="Arial"/>
        </w:rPr>
      </w:pPr>
      <w:r>
        <w:t>Management</w:t>
      </w:r>
    </w:p>
    <w:p w:rsidR="00D21067" w:rsidRDefault="00D21067" w:rsidP="00D21067">
      <w:pPr>
        <w:pStyle w:val="Bodytext0"/>
      </w:pPr>
      <w:r>
        <w:t>Burning in early spring favors warm-season composite dropseed, whereas late spring burning favors cool-season species. Forage yield of composite dropseed increased following a spring burn during both wet and dry years in an Ashe’s juniper (</w:t>
      </w:r>
      <w:r>
        <w:rPr>
          <w:i/>
          <w:iCs/>
        </w:rPr>
        <w:t>Juniperus</w:t>
      </w:r>
      <w:r>
        <w:t xml:space="preserve"> </w:t>
      </w:r>
      <w:r>
        <w:rPr>
          <w:i/>
          <w:iCs/>
        </w:rPr>
        <w:t>ashe</w:t>
      </w:r>
      <w:r>
        <w:t xml:space="preserve">) community in southeastern </w:t>
      </w:r>
      <w:smartTag w:uri="urn:schemas-microsoft-com:office:smarttags" w:element="place">
        <w:smartTag w:uri="urn:schemas-microsoft-com:office:smarttags" w:element="State">
          <w:r>
            <w:t>Texas</w:t>
          </w:r>
        </w:smartTag>
      </w:smartTag>
      <w:r>
        <w:t xml:space="preserve">. An autumn burn favored the growth of composite dropseed in a southern </w:t>
      </w:r>
      <w:smartTag w:uri="urn:schemas-microsoft-com:office:smarttags" w:element="place">
        <w:smartTag w:uri="urn:schemas-microsoft-com:office:smarttags" w:element="State">
          <w:r>
            <w:t>Texas</w:t>
          </w:r>
        </w:smartTag>
      </w:smartTag>
      <w:r>
        <w:t xml:space="preserve"> chaparral community. </w:t>
      </w:r>
    </w:p>
    <w:p w:rsidR="00D21067" w:rsidRDefault="00D21067" w:rsidP="00D21067">
      <w:pPr>
        <w:pStyle w:val="Bodytext0"/>
      </w:pPr>
    </w:p>
    <w:p w:rsidR="00D21067" w:rsidRDefault="00D21067" w:rsidP="00D21067">
      <w:pPr>
        <w:pStyle w:val="Bodytext0"/>
      </w:pPr>
      <w:r>
        <w:t xml:space="preserve">A field study addressed the effects of fire, cattle grazing and the interaction of these two disturbances on plant species abundance and community structure in an tallgrass prairie in </w:t>
      </w:r>
      <w:smartTag w:uri="urn:schemas-microsoft-com:office:smarttags" w:element="place">
        <w:smartTag w:uri="urn:schemas-microsoft-com:office:smarttags" w:element="State">
          <w:r>
            <w:t>Oklahoma</w:t>
          </w:r>
        </w:smartTag>
      </w:smartTag>
      <w:r>
        <w:t>. Plant species composition was sampled across 4 levels of increasing disturbance intensity: ungrazed + unburned (undisturbed), grazed + unburned, ungrazed + burned, and grazed + burned. Burning occurred during mid-April. Grazing occurred from mid-May to September at a moderate to heavy stocking rate.  Burning decreased the percentage cover of composite dropseed from 11.7 to 4.8, when averaged across grazing treat</w:t>
      </w:r>
      <w:smartTag w:uri="urn:schemas-microsoft-com:office:smarttags" w:element="PersonName">
        <w:r>
          <w:t>me</w:t>
        </w:r>
      </w:smartTag>
      <w:r>
        <w:t>nts and years. Grazing had no effect on the percentage cover of composite dropseed. The common species in the plant community were classified as either matrix or non-matrix species. Matrix forming species are superior competitors that consu</w:t>
      </w:r>
      <w:smartTag w:uri="urn:schemas-microsoft-com:office:smarttags" w:element="PersonName">
        <w:r>
          <w:t>me</w:t>
        </w:r>
      </w:smartTag>
      <w:r>
        <w:t xml:space="preserve"> the majority of resources, and non-matrix species occupy areas between the matrix forming dominants. In this study the matrix species were perennial grasses: </w:t>
      </w:r>
      <w:r w:rsidRPr="00DD6A7B">
        <w:t xml:space="preserve">big bluestem </w:t>
      </w:r>
      <w:r>
        <w:t>(</w:t>
      </w:r>
      <w:r w:rsidRPr="00DD6A7B">
        <w:rPr>
          <w:i/>
          <w:iCs/>
        </w:rPr>
        <w:t>Andropogon</w:t>
      </w:r>
      <w:r w:rsidRPr="00DD6A7B">
        <w:t xml:space="preserve"> </w:t>
      </w:r>
      <w:r w:rsidRPr="00DD6A7B">
        <w:rPr>
          <w:i/>
          <w:iCs/>
        </w:rPr>
        <w:t>gerardii</w:t>
      </w:r>
      <w:r>
        <w:t xml:space="preserve">), </w:t>
      </w:r>
      <w:r w:rsidRPr="00DD6A7B">
        <w:t xml:space="preserve">little bluestem </w:t>
      </w:r>
      <w:r>
        <w:t>(</w:t>
      </w:r>
      <w:r w:rsidRPr="00DD6A7B">
        <w:rPr>
          <w:i/>
          <w:iCs/>
        </w:rPr>
        <w:t>Schizachyrium</w:t>
      </w:r>
      <w:r w:rsidRPr="00DD6A7B">
        <w:t xml:space="preserve"> </w:t>
      </w:r>
      <w:r w:rsidRPr="00DD6A7B">
        <w:rPr>
          <w:i/>
          <w:iCs/>
        </w:rPr>
        <w:t>scoparium</w:t>
      </w:r>
      <w:r>
        <w:t xml:space="preserve">), </w:t>
      </w:r>
      <w:r w:rsidRPr="00797DA8">
        <w:t>Indiangrass</w:t>
      </w:r>
      <w:r w:rsidRPr="00DD6A7B">
        <w:t xml:space="preserve"> </w:t>
      </w:r>
      <w:r>
        <w:t>(</w:t>
      </w:r>
      <w:r w:rsidRPr="00797DA8">
        <w:rPr>
          <w:i/>
          <w:iCs/>
        </w:rPr>
        <w:t>Sorghastrum</w:t>
      </w:r>
      <w:r w:rsidRPr="00797DA8">
        <w:t xml:space="preserve"> </w:t>
      </w:r>
      <w:r w:rsidRPr="00797DA8">
        <w:rPr>
          <w:i/>
          <w:iCs/>
        </w:rPr>
        <w:t>nutans</w:t>
      </w:r>
      <w:r>
        <w:t>),</w:t>
      </w:r>
      <w:r w:rsidRPr="00DD6A7B">
        <w:t xml:space="preserve"> </w:t>
      </w:r>
      <w:r>
        <w:t>and composite dropseed. The non-matrix species were perennial and annual forbs, and the annual grass</w:t>
      </w:r>
      <w:r w:rsidRPr="00797DA8">
        <w:t xml:space="preserve"> cheatgrass</w:t>
      </w:r>
      <w:r>
        <w:t xml:space="preserve"> (</w:t>
      </w:r>
      <w:r w:rsidRPr="00797DA8">
        <w:rPr>
          <w:i/>
          <w:iCs/>
        </w:rPr>
        <w:t>Bromus</w:t>
      </w:r>
      <w:r w:rsidRPr="00797DA8">
        <w:t xml:space="preserve"> </w:t>
      </w:r>
      <w:r w:rsidRPr="00797DA8">
        <w:rPr>
          <w:i/>
          <w:iCs/>
        </w:rPr>
        <w:t>tectorum</w:t>
      </w:r>
      <w:r>
        <w:t>). Collectively, the matrix and non-matrix species exhibited an opposite response to both burning and grazing treat</w:t>
      </w:r>
      <w:smartTag w:uri="urn:schemas-microsoft-com:office:smarttags" w:element="PersonName">
        <w:r>
          <w:t>me</w:t>
        </w:r>
      </w:smartTag>
      <w:r>
        <w:t>nts. Collectively, fire increased the cover of matrix-forming grass; composite dropseed was an exception. Grazing decreased the cover of matrix grasses and increased the cover of forbs.</w:t>
      </w:r>
      <w:r w:rsidRPr="00DD6A7B">
        <w:t xml:space="preserve"> </w:t>
      </w:r>
      <w:r>
        <w:t>Cheatgrass was the most common non-matrix species. Burning reduced the percentage cover of cheatgrass from 30.0 to 1.8, when averaged across grazing treat</w:t>
      </w:r>
      <w:smartTag w:uri="urn:schemas-microsoft-com:office:smarttags" w:element="PersonName">
        <w:r>
          <w:t>me</w:t>
        </w:r>
      </w:smartTag>
      <w:r>
        <w:t xml:space="preserve">nts and years.  </w:t>
      </w:r>
      <w:r w:rsidRPr="00DD6A7B">
        <w:t xml:space="preserve"> </w:t>
      </w:r>
    </w:p>
    <w:p w:rsidR="00CD49CC" w:rsidRDefault="00CD49CC" w:rsidP="00F802DB">
      <w:pPr>
        <w:pStyle w:val="Bodytext0"/>
      </w:pPr>
    </w:p>
    <w:p w:rsidR="00CD49CC" w:rsidRDefault="00CD49CC" w:rsidP="00F802DB">
      <w:pPr>
        <w:pStyle w:val="Header3"/>
      </w:pPr>
      <w:r>
        <w:t>Pests and Potential Problems</w:t>
      </w:r>
    </w:p>
    <w:p w:rsidR="00D21067" w:rsidRDefault="00D21067" w:rsidP="00D21067">
      <w:pPr>
        <w:pStyle w:val="Bodytext0"/>
        <w:rPr>
          <w:b/>
        </w:rPr>
      </w:pPr>
      <w:r>
        <w:t xml:space="preserve">This plant may become weedy or invasive in some regions or habitats and may displace desirable </w:t>
      </w:r>
      <w:r>
        <w:lastRenderedPageBreak/>
        <w:t>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CD49CC" w:rsidRDefault="00CD49CC" w:rsidP="00F802DB">
      <w:pPr>
        <w:pStyle w:val="Bodytext0"/>
      </w:pPr>
    </w:p>
    <w:p w:rsidR="00D21067" w:rsidRDefault="00D21067" w:rsidP="00D21067">
      <w:pPr>
        <w:pStyle w:val="Header3"/>
      </w:pPr>
      <w:r>
        <w:t>Control</w:t>
      </w:r>
    </w:p>
    <w:p w:rsidR="00D21067" w:rsidRDefault="00D21067" w:rsidP="00D21067">
      <w:pPr>
        <w:pStyle w:val="Bodytext0"/>
      </w:pPr>
      <w:r>
        <w:t xml:space="preserve">Please contact your local agricultural extension specialist or county weed specialist to learn what works best in your area and how to use it safely.  Always read label and safety instructions for each control </w:t>
      </w:r>
      <w:smartTag w:uri="urn:schemas-microsoft-com:office:smarttags" w:element="PersonName">
        <w:r>
          <w:t>me</w:t>
        </w:r>
      </w:smartTag>
      <w:r>
        <w:t>thod. Trade na</w:t>
      </w:r>
      <w:smartTag w:uri="urn:schemas-microsoft-com:office:smarttags" w:element="PersonName">
        <w:r>
          <w:t>me</w:t>
        </w:r>
      </w:smartTag>
      <w:r>
        <w:t xml:space="preserve">s and control </w:t>
      </w:r>
      <w:smartTag w:uri="urn:schemas-microsoft-com:office:smarttags" w:element="PersonName">
        <w:r>
          <w:t>me</w:t>
        </w:r>
      </w:smartTag>
      <w:r>
        <w:t>asures appear in this docu</w:t>
      </w:r>
      <w:smartTag w:uri="urn:schemas-microsoft-com:office:smarttags" w:element="PersonName">
        <w:r>
          <w:t>me</w:t>
        </w:r>
      </w:smartTag>
      <w:r>
        <w:t xml:space="preserve">nt only to provide specific information.  USDA NRCS does not guarantee or warranty the products and control </w:t>
      </w:r>
      <w:smartTag w:uri="urn:schemas-microsoft-com:office:smarttags" w:element="PersonName">
        <w:r>
          <w:t>me</w:t>
        </w:r>
      </w:smartTag>
      <w:r>
        <w:t>thods na</w:t>
      </w:r>
      <w:smartTag w:uri="urn:schemas-microsoft-com:office:smarttags" w:element="PersonName">
        <w:r>
          <w:t>me</w:t>
        </w:r>
      </w:smartTag>
      <w:r>
        <w:t>d, and other products may be equally effective.</w:t>
      </w:r>
    </w:p>
    <w:p w:rsidR="00CD49CC" w:rsidRDefault="00CD49CC" w:rsidP="00F802DB">
      <w:pPr>
        <w:pStyle w:val="Bodytext0"/>
      </w:pPr>
    </w:p>
    <w:p w:rsidR="002375B8" w:rsidRDefault="002375B8" w:rsidP="00F802DB">
      <w:pPr>
        <w:pStyle w:val="Header3"/>
      </w:pPr>
      <w:r>
        <w:t>Seeds and Plant Production</w:t>
      </w:r>
    </w:p>
    <w:p w:rsidR="00D21067" w:rsidRPr="00F6381B" w:rsidRDefault="00D21067" w:rsidP="00D21067">
      <w:pPr>
        <w:pStyle w:val="Header3"/>
        <w:rPr>
          <w:b w:val="0"/>
        </w:rPr>
      </w:pPr>
      <w:r w:rsidRPr="00F6381B">
        <w:rPr>
          <w:b w:val="0"/>
        </w:rPr>
        <w:t xml:space="preserve">An </w:t>
      </w:r>
      <w:r>
        <w:rPr>
          <w:b w:val="0"/>
        </w:rPr>
        <w:t xml:space="preserve">average seed lot of composite dropseed contains 759,362 seeds per pound. Observations indicate that cross-pollination in composite dropseed is possible but probably infrequent. Nevertheless, standard isolation procedures should be used in composite dropseed seed production.  </w:t>
      </w:r>
    </w:p>
    <w:p w:rsidR="002375B8" w:rsidRPr="00222F37" w:rsidRDefault="002375B8" w:rsidP="00F802DB">
      <w:pPr>
        <w:pStyle w:val="Header3"/>
        <w:rPr>
          <w:b w:val="0"/>
        </w:rPr>
      </w:pPr>
    </w:p>
    <w:p w:rsidR="00CD49CC" w:rsidRDefault="00CD49CC" w:rsidP="00F802DB">
      <w:pPr>
        <w:pStyle w:val="Header3"/>
      </w:pPr>
      <w:r>
        <w:t>Cultivars, Improved, and Selected Materials (and area of origin)</w:t>
      </w:r>
    </w:p>
    <w:p w:rsidR="00024DE6" w:rsidRPr="001244A5"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24DE6" w:rsidRDefault="00024DE6" w:rsidP="00F802DB">
      <w:pPr>
        <w:pStyle w:val="Bodytext0"/>
      </w:pPr>
    </w:p>
    <w:p w:rsidR="00D21067" w:rsidRDefault="00D21067" w:rsidP="00D21067">
      <w:pPr>
        <w:pStyle w:val="Bodytext0"/>
      </w:pPr>
      <w:r>
        <w:t xml:space="preserve">“Northern Missouri Germplasm” is a source identified ecotype for northern </w:t>
      </w:r>
      <w:smartTag w:uri="urn:schemas-microsoft-com:office:smarttags" w:element="place">
        <w:smartTag w:uri="urn:schemas-microsoft-com:office:smarttags" w:element="State">
          <w:r>
            <w:t>Missouri</w:t>
          </w:r>
        </w:smartTag>
      </w:smartTag>
      <w:r>
        <w:t xml:space="preserve"> counties. It was collected from native prairie remnants in </w:t>
      </w:r>
      <w:smartTag w:uri="urn:schemas-microsoft-com:office:smarttags" w:element="State">
        <w:r>
          <w:t>Missouri</w:t>
        </w:r>
      </w:smartTag>
      <w:r>
        <w:t xml:space="preserve"> counties north of the Missouri River and from east to west across northern </w:t>
      </w:r>
      <w:smartTag w:uri="urn:schemas-microsoft-com:office:smarttags" w:element="place">
        <w:smartTag w:uri="urn:schemas-microsoft-com:office:smarttags" w:element="State">
          <w:r>
            <w:t>Missouri</w:t>
          </w:r>
        </w:smartTag>
      </w:smartTag>
      <w:r>
        <w:t xml:space="preserve">. The potential uses of Northern Missouri Germplasm include roadside plantings, prairie restoration, landscaping, and increasing species diversity in prairie communities. Seed is available from the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Elsberry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2803 N. Hwy. 79, </w:t>
      </w: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r>
        <w:t xml:space="preserve">.   </w:t>
      </w:r>
    </w:p>
    <w:p w:rsidR="00D21067" w:rsidRDefault="00D21067" w:rsidP="00F802DB">
      <w:pPr>
        <w:pStyle w:val="Bodytext0"/>
      </w:pPr>
    </w:p>
    <w:p w:rsidR="002375B8" w:rsidRDefault="002375B8" w:rsidP="006564CC">
      <w:pPr>
        <w:pStyle w:val="Header3"/>
        <w:keepNext w:val="0"/>
      </w:pPr>
      <w:r>
        <w:t>References</w:t>
      </w:r>
    </w:p>
    <w:p w:rsidR="00F84A06" w:rsidRPr="00776FAA" w:rsidRDefault="00F84A06" w:rsidP="006564CC">
      <w:pPr>
        <w:pStyle w:val="Header3"/>
        <w:keepNext w:val="0"/>
        <w:rPr>
          <w:b w:val="0"/>
        </w:rPr>
      </w:pPr>
      <w:r w:rsidRPr="006564CC">
        <w:rPr>
          <w:b w:val="0"/>
        </w:rPr>
        <w:t>Boe, A.</w:t>
      </w:r>
      <w:r>
        <w:t xml:space="preserve"> </w:t>
      </w:r>
      <w:r w:rsidRPr="00776FAA">
        <w:rPr>
          <w:b w:val="0"/>
        </w:rPr>
        <w:t xml:space="preserve">1990. </w:t>
      </w:r>
      <w:r w:rsidRPr="006564CC">
        <w:rPr>
          <w:b w:val="0"/>
          <w:i/>
        </w:rPr>
        <w:t>Variability for seed size and yield in two tall dropseed populations</w:t>
      </w:r>
      <w:r>
        <w:rPr>
          <w:b w:val="0"/>
        </w:rPr>
        <w:t>. J. Range Manage. 43:195-197.</w:t>
      </w:r>
    </w:p>
    <w:p w:rsidR="00F84A06" w:rsidRDefault="00F84A06" w:rsidP="006564CC">
      <w:pPr>
        <w:pStyle w:val="Header3"/>
        <w:keepNext w:val="0"/>
      </w:pPr>
    </w:p>
    <w:p w:rsidR="00F84A06" w:rsidRDefault="00F84A06" w:rsidP="006564CC">
      <w:pPr>
        <w:pStyle w:val="Header3"/>
        <w:keepNext w:val="0"/>
        <w:rPr>
          <w:b w:val="0"/>
        </w:rPr>
      </w:pPr>
      <w:smartTag w:uri="urn:schemas-microsoft-com:office:smarttags" w:element="place">
        <w:smartTag w:uri="urn:schemas-microsoft-com:office:smarttags" w:element="City">
          <w:r w:rsidRPr="006564CC">
            <w:rPr>
              <w:b w:val="0"/>
            </w:rPr>
            <w:t>Anderson</w:t>
          </w:r>
        </w:smartTag>
      </w:smartTag>
      <w:r w:rsidRPr="006564CC">
        <w:rPr>
          <w:b w:val="0"/>
        </w:rPr>
        <w:t>, K.L., Smith, E.F. &amp; Owensby, C.B.</w:t>
      </w:r>
      <w:r>
        <w:rPr>
          <w:b w:val="0"/>
        </w:rPr>
        <w:t xml:space="preserve"> 1970. Burning bluestem range. </w:t>
      </w:r>
      <w:r w:rsidRPr="00481F00">
        <w:rPr>
          <w:b w:val="0"/>
          <w:i/>
        </w:rPr>
        <w:t>J. Range Manage.</w:t>
      </w:r>
      <w:r>
        <w:rPr>
          <w:b w:val="0"/>
        </w:rPr>
        <w:t xml:space="preserve"> 23: 81-92.</w:t>
      </w:r>
    </w:p>
    <w:p w:rsidR="00F84A06" w:rsidRDefault="00F84A06" w:rsidP="006564CC">
      <w:pPr>
        <w:pStyle w:val="Header3"/>
        <w:keepNext w:val="0"/>
        <w:rPr>
          <w:b w:val="0"/>
        </w:rPr>
      </w:pPr>
    </w:p>
    <w:p w:rsidR="00F84A06" w:rsidRDefault="00F84A06" w:rsidP="006564CC">
      <w:pPr>
        <w:pStyle w:val="Header3"/>
        <w:keepNext w:val="0"/>
        <w:rPr>
          <w:b w:val="0"/>
          <w:bCs w:val="0"/>
        </w:rPr>
      </w:pPr>
      <w:r w:rsidRPr="00F84A06">
        <w:rPr>
          <w:b w:val="0"/>
          <w:bCs w:val="0"/>
        </w:rPr>
        <w:lastRenderedPageBreak/>
        <w:t>Baskin, C.J. &amp; Baskin, J.M.</w:t>
      </w:r>
      <w:r w:rsidRPr="006F57D5">
        <w:rPr>
          <w:b w:val="0"/>
          <w:bCs w:val="0"/>
        </w:rPr>
        <w:t xml:space="preserve"> </w:t>
      </w:r>
      <w:r>
        <w:rPr>
          <w:b w:val="0"/>
          <w:bCs w:val="0"/>
        </w:rPr>
        <w:t xml:space="preserve">1998. </w:t>
      </w:r>
      <w:r w:rsidRPr="006F57D5">
        <w:rPr>
          <w:b w:val="0"/>
          <w:bCs w:val="0"/>
          <w:i/>
        </w:rPr>
        <w:t xml:space="preserve">Seeds: Ecology, </w:t>
      </w:r>
      <w:r w:rsidR="006564CC">
        <w:rPr>
          <w:b w:val="0"/>
          <w:bCs w:val="0"/>
          <w:i/>
        </w:rPr>
        <w:t>b</w:t>
      </w:r>
      <w:r w:rsidRPr="006F57D5">
        <w:rPr>
          <w:b w:val="0"/>
          <w:bCs w:val="0"/>
          <w:i/>
        </w:rPr>
        <w:t xml:space="preserve">iogeography and </w:t>
      </w:r>
      <w:r w:rsidR="006564CC">
        <w:rPr>
          <w:b w:val="0"/>
          <w:bCs w:val="0"/>
          <w:i/>
        </w:rPr>
        <w:t>e</w:t>
      </w:r>
      <w:r w:rsidRPr="006F57D5">
        <w:rPr>
          <w:b w:val="0"/>
          <w:bCs w:val="0"/>
          <w:i/>
        </w:rPr>
        <w:t xml:space="preserve">volution in </w:t>
      </w:r>
      <w:r w:rsidR="006564CC">
        <w:rPr>
          <w:b w:val="0"/>
          <w:bCs w:val="0"/>
          <w:i/>
        </w:rPr>
        <w:t>d</w:t>
      </w:r>
      <w:r w:rsidRPr="006F57D5">
        <w:rPr>
          <w:b w:val="0"/>
          <w:bCs w:val="0"/>
          <w:i/>
        </w:rPr>
        <w:t xml:space="preserve">ormancy and </w:t>
      </w:r>
      <w:r w:rsidR="006564CC">
        <w:rPr>
          <w:b w:val="0"/>
          <w:bCs w:val="0"/>
          <w:i/>
        </w:rPr>
        <w:t>g</w:t>
      </w:r>
      <w:r w:rsidRPr="006F57D5">
        <w:rPr>
          <w:b w:val="0"/>
          <w:bCs w:val="0"/>
          <w:i/>
        </w:rPr>
        <w:t>ermination</w:t>
      </w:r>
      <w:r>
        <w:rPr>
          <w:b w:val="0"/>
          <w:bCs w:val="0"/>
        </w:rPr>
        <w:t>. Academic Press.</w:t>
      </w:r>
      <w:r w:rsidR="006564CC">
        <w:rPr>
          <w:b w:val="0"/>
          <w:bCs w:val="0"/>
        </w:rPr>
        <w:t xml:space="preserve"> In:</w:t>
      </w:r>
      <w:r>
        <w:rPr>
          <w:b w:val="0"/>
          <w:bCs w:val="0"/>
        </w:rPr>
        <w:t xml:space="preserve"> Native Plant Propagation Database</w:t>
      </w:r>
      <w:r w:rsidR="006564CC">
        <w:rPr>
          <w:b w:val="0"/>
          <w:bCs w:val="0"/>
        </w:rPr>
        <w:t xml:space="preserve"> </w:t>
      </w:r>
      <w:r>
        <w:rPr>
          <w:b w:val="0"/>
          <w:bCs w:val="0"/>
        </w:rPr>
        <w:t xml:space="preserve">  </w:t>
      </w:r>
      <w:hyperlink r:id="rId9" w:history="1">
        <w:r w:rsidRPr="007A60B2">
          <w:rPr>
            <w:rStyle w:val="Hyperlink"/>
          </w:rPr>
          <w:t>http://nativeplants.for.uidaho.edu/network/PreviewResults.asp</w:t>
        </w:r>
      </w:hyperlink>
    </w:p>
    <w:p w:rsidR="00F84A06" w:rsidRDefault="00F84A06" w:rsidP="006564CC">
      <w:pPr>
        <w:pStyle w:val="Header3"/>
        <w:keepNext w:val="0"/>
        <w:rPr>
          <w:b w:val="0"/>
          <w:bCs w:val="0"/>
        </w:rPr>
      </w:pPr>
    </w:p>
    <w:p w:rsidR="00F84A06" w:rsidRDefault="00F84A06" w:rsidP="006564CC">
      <w:pPr>
        <w:pStyle w:val="Header3"/>
        <w:keepNext w:val="0"/>
        <w:rPr>
          <w:b w:val="0"/>
        </w:rPr>
      </w:pPr>
      <w:r w:rsidRPr="00F84A06">
        <w:rPr>
          <w:b w:val="0"/>
        </w:rPr>
        <w:t>Box, T.W. Powell, J.D. &amp; Lynn, D</w:t>
      </w:r>
      <w:r>
        <w:rPr>
          <w:b w:val="0"/>
        </w:rPr>
        <w:t xml:space="preserve">. 1967. </w:t>
      </w:r>
      <w:r w:rsidRPr="00F84A06">
        <w:rPr>
          <w:b w:val="0"/>
          <w:i/>
        </w:rPr>
        <w:t xml:space="preserve">Influence of fire on south </w:t>
      </w:r>
      <w:smartTag w:uri="urn:schemas-microsoft-com:office:smarttags" w:element="State">
        <w:smartTag w:uri="urn:schemas-microsoft-com:office:smarttags" w:element="place">
          <w:r w:rsidRPr="00F84A06">
            <w:rPr>
              <w:b w:val="0"/>
              <w:i/>
            </w:rPr>
            <w:t>Texas</w:t>
          </w:r>
        </w:smartTag>
      </w:smartTag>
      <w:r w:rsidRPr="00F84A06">
        <w:rPr>
          <w:b w:val="0"/>
          <w:i/>
        </w:rPr>
        <w:t xml:space="preserve"> chaparral communities</w:t>
      </w:r>
      <w:r>
        <w:rPr>
          <w:b w:val="0"/>
        </w:rPr>
        <w:t xml:space="preserve">. </w:t>
      </w:r>
      <w:r w:rsidRPr="0083224C">
        <w:rPr>
          <w:b w:val="0"/>
          <w:i/>
        </w:rPr>
        <w:t>Ecology</w:t>
      </w:r>
      <w:r>
        <w:rPr>
          <w:b w:val="0"/>
        </w:rPr>
        <w:t xml:space="preserve"> 48: 955-961.</w:t>
      </w:r>
    </w:p>
    <w:p w:rsidR="00F84A06" w:rsidRDefault="00F84A06" w:rsidP="006564CC">
      <w:pPr>
        <w:pStyle w:val="Header3"/>
        <w:keepNext w:val="0"/>
        <w:rPr>
          <w:b w:val="0"/>
        </w:rPr>
      </w:pPr>
    </w:p>
    <w:p w:rsidR="00F84A06" w:rsidRDefault="00F84A06" w:rsidP="006564CC">
      <w:pPr>
        <w:pStyle w:val="Header3"/>
        <w:keepNext w:val="0"/>
        <w:rPr>
          <w:b w:val="0"/>
        </w:rPr>
      </w:pPr>
      <w:r w:rsidRPr="00F84A06">
        <w:rPr>
          <w:b w:val="0"/>
        </w:rPr>
        <w:t>Collins, S.</w:t>
      </w:r>
      <w:r>
        <w:rPr>
          <w:b w:val="0"/>
        </w:rPr>
        <w:t xml:space="preserve"> 1987. </w:t>
      </w:r>
      <w:r w:rsidRPr="00F84A06">
        <w:rPr>
          <w:b w:val="0"/>
          <w:i/>
        </w:rPr>
        <w:t>Interaction of disturbances in tallgrass prairie: a field experi</w:t>
      </w:r>
      <w:smartTag w:uri="urn:schemas-microsoft-com:office:smarttags" w:element="PersonName">
        <w:r w:rsidRPr="00F84A06">
          <w:rPr>
            <w:b w:val="0"/>
            <w:i/>
          </w:rPr>
          <w:t>me</w:t>
        </w:r>
      </w:smartTag>
      <w:r w:rsidRPr="00F84A06">
        <w:rPr>
          <w:b w:val="0"/>
          <w:i/>
        </w:rPr>
        <w:t>nt</w:t>
      </w:r>
      <w:r>
        <w:rPr>
          <w:b w:val="0"/>
        </w:rPr>
        <w:t xml:space="preserve">. </w:t>
      </w:r>
      <w:r w:rsidRPr="00481F00">
        <w:rPr>
          <w:b w:val="0"/>
          <w:i/>
        </w:rPr>
        <w:t>Ecology</w:t>
      </w:r>
      <w:r>
        <w:rPr>
          <w:b w:val="0"/>
        </w:rPr>
        <w:t xml:space="preserve"> 68: 1243-1250. </w:t>
      </w:r>
    </w:p>
    <w:p w:rsidR="00F84A06" w:rsidRPr="00481F00" w:rsidRDefault="00F84A06" w:rsidP="00F84A06">
      <w:pPr>
        <w:pStyle w:val="Header3"/>
        <w:rPr>
          <w:b w:val="0"/>
        </w:rPr>
      </w:pPr>
    </w:p>
    <w:p w:rsidR="00F84A06" w:rsidRDefault="00F84A06" w:rsidP="00F84A06">
      <w:pPr>
        <w:pStyle w:val="Header3"/>
        <w:rPr>
          <w:b w:val="0"/>
        </w:rPr>
      </w:pPr>
      <w:smartTag w:uri="urn:schemas-microsoft-com:office:smarttags" w:element="place">
        <w:smartTag w:uri="urn:schemas-microsoft-com:office:smarttags" w:element="State">
          <w:r w:rsidRPr="0018330D">
            <w:rPr>
              <w:b w:val="0"/>
            </w:rPr>
            <w:t>Kansas</w:t>
          </w:r>
        </w:smartTag>
      </w:smartTag>
      <w:r w:rsidRPr="0018330D">
        <w:rPr>
          <w:b w:val="0"/>
        </w:rPr>
        <w:t xml:space="preserve"> Wildflowers and Grasses</w:t>
      </w:r>
      <w:r>
        <w:rPr>
          <w:b w:val="0"/>
        </w:rPr>
        <w:t>.</w:t>
      </w:r>
      <w:r w:rsidRPr="0018330D">
        <w:rPr>
          <w:b w:val="0"/>
        </w:rPr>
        <w:t xml:space="preserve"> </w:t>
      </w:r>
      <w:r>
        <w:rPr>
          <w:b w:val="0"/>
        </w:rPr>
        <w:t>Accessed 20 October 2005</w:t>
      </w:r>
      <w:r w:rsidRPr="0018330D">
        <w:t xml:space="preserve"> </w:t>
      </w:r>
      <w:hyperlink r:id="rId10" w:history="1">
        <w:r w:rsidRPr="00123790">
          <w:rPr>
            <w:rStyle w:val="Hyperlink"/>
          </w:rPr>
          <w:t>http://www.lib.ksu.edu/wildflower/</w:t>
        </w:r>
      </w:hyperlink>
    </w:p>
    <w:p w:rsidR="00F84A06" w:rsidRDefault="00F84A06" w:rsidP="00F84A06">
      <w:pPr>
        <w:pStyle w:val="Header3"/>
        <w:rPr>
          <w:b w:val="0"/>
        </w:rPr>
      </w:pPr>
    </w:p>
    <w:p w:rsidR="00F84A06" w:rsidRDefault="00F84A06" w:rsidP="00F84A06">
      <w:pPr>
        <w:pStyle w:val="Header3"/>
        <w:rPr>
          <w:b w:val="0"/>
        </w:rPr>
      </w:pPr>
      <w:r w:rsidRPr="00F84A06">
        <w:rPr>
          <w:b w:val="0"/>
        </w:rPr>
        <w:t>Riggins, R. 1977.</w:t>
      </w:r>
      <w:r>
        <w:rPr>
          <w:b w:val="0"/>
        </w:rPr>
        <w:t xml:space="preserve"> </w:t>
      </w:r>
      <w:r w:rsidRPr="00F84A06">
        <w:rPr>
          <w:b w:val="0"/>
          <w:i/>
        </w:rPr>
        <w:t>A biosystematic study of the Sporobolus asper complex (Gramineae)</w:t>
      </w:r>
      <w:r>
        <w:rPr>
          <w:b w:val="0"/>
        </w:rPr>
        <w:t xml:space="preserve">. </w:t>
      </w:r>
      <w:smartTag w:uri="urn:schemas-microsoft-com:office:smarttags" w:element="place">
        <w:smartTag w:uri="urn:schemas-microsoft-com:office:smarttags" w:element="PlaceName">
          <w:r>
            <w:rPr>
              <w:b w:val="0"/>
            </w:rPr>
            <w:t>Iowa</w:t>
          </w:r>
        </w:smartTag>
        <w:r>
          <w:rPr>
            <w:b w:val="0"/>
          </w:rPr>
          <w:t xml:space="preserve"> </w:t>
        </w:r>
        <w:smartTag w:uri="urn:schemas-microsoft-com:office:smarttags" w:element="PlaceType">
          <w:r>
            <w:rPr>
              <w:b w:val="0"/>
            </w:rPr>
            <w:t>State</w:t>
          </w:r>
        </w:smartTag>
      </w:smartTag>
      <w:r>
        <w:rPr>
          <w:b w:val="0"/>
        </w:rPr>
        <w:t xml:space="preserve"> Journal of Research 51: 287-321.</w:t>
      </w:r>
    </w:p>
    <w:p w:rsidR="00F84A06" w:rsidRDefault="00F84A06" w:rsidP="00F84A06">
      <w:pPr>
        <w:pStyle w:val="Header3"/>
        <w:rPr>
          <w:b w:val="0"/>
        </w:rPr>
      </w:pPr>
      <w:r>
        <w:rPr>
          <w:b w:val="0"/>
        </w:rPr>
        <w:t xml:space="preserve"> </w:t>
      </w:r>
    </w:p>
    <w:p w:rsidR="00F84A06" w:rsidRDefault="00F84A06" w:rsidP="00F84A06">
      <w:pPr>
        <w:pStyle w:val="Header3"/>
        <w:rPr>
          <w:b w:val="0"/>
        </w:rPr>
      </w:pPr>
      <w:r w:rsidRPr="00F84A06">
        <w:rPr>
          <w:b w:val="0"/>
        </w:rPr>
        <w:t>Peitz, D.G., Lockmiller R.L, Leslie, D.M. &amp; Engle, D.M.</w:t>
      </w:r>
      <w:r>
        <w:rPr>
          <w:b w:val="0"/>
        </w:rPr>
        <w:t xml:space="preserve"> 1997. </w:t>
      </w:r>
      <w:r w:rsidRPr="00F84A06">
        <w:rPr>
          <w:b w:val="0"/>
          <w:i/>
        </w:rPr>
        <w:t>Protein quality of cottontail rabbit forages following rangeland disturbance</w:t>
      </w:r>
      <w:r>
        <w:rPr>
          <w:b w:val="0"/>
        </w:rPr>
        <w:t xml:space="preserve">. </w:t>
      </w:r>
      <w:r w:rsidRPr="007B4E49">
        <w:rPr>
          <w:b w:val="0"/>
          <w:i/>
        </w:rPr>
        <w:t>J. Range Manage.</w:t>
      </w:r>
      <w:r>
        <w:rPr>
          <w:b w:val="0"/>
        </w:rPr>
        <w:t xml:space="preserve"> 50: 450-458.   </w:t>
      </w:r>
    </w:p>
    <w:p w:rsidR="00F84A06" w:rsidRPr="0018330D" w:rsidRDefault="00F84A06" w:rsidP="00F84A06">
      <w:pPr>
        <w:pStyle w:val="Header3"/>
        <w:rPr>
          <w:b w:val="0"/>
        </w:rPr>
      </w:pPr>
    </w:p>
    <w:p w:rsidR="00F84A06" w:rsidRDefault="00F84A06" w:rsidP="00F84A06">
      <w:pPr>
        <w:pStyle w:val="Header3"/>
        <w:rPr>
          <w:b w:val="0"/>
        </w:rPr>
      </w:pPr>
      <w:r w:rsidRPr="00F84A06">
        <w:rPr>
          <w:b w:val="0"/>
        </w:rPr>
        <w:t>Stubbendieck, J., Hatch, S.L. &amp; Butterfield, C.</w:t>
      </w:r>
      <w:r>
        <w:rPr>
          <w:b w:val="0"/>
        </w:rPr>
        <w:t xml:space="preserve"> 1995. </w:t>
      </w:r>
      <w:r w:rsidRPr="00B007E3">
        <w:rPr>
          <w:b w:val="0"/>
          <w:i/>
        </w:rPr>
        <w:t>North A</w:t>
      </w:r>
      <w:smartTag w:uri="urn:schemas-microsoft-com:office:smarttags" w:element="PersonName">
        <w:r w:rsidRPr="00B007E3">
          <w:rPr>
            <w:b w:val="0"/>
            <w:i/>
          </w:rPr>
          <w:t>me</w:t>
        </w:r>
      </w:smartTag>
      <w:r w:rsidRPr="00B007E3">
        <w:rPr>
          <w:b w:val="0"/>
          <w:i/>
        </w:rPr>
        <w:t>rican range plants</w:t>
      </w:r>
      <w:r>
        <w:rPr>
          <w:b w:val="0"/>
          <w:i/>
        </w:rPr>
        <w:t>.</w:t>
      </w:r>
      <w:r>
        <w:rPr>
          <w:b w:val="0"/>
        </w:rPr>
        <w:t xml:space="preserve"> ed. 2. </w:t>
      </w:r>
      <w:smartTag w:uri="urn:schemas-microsoft-com:office:smarttags" w:element="place">
        <w:smartTag w:uri="urn:schemas-microsoft-com:office:smarttags" w:element="PlaceType">
          <w:r>
            <w:rPr>
              <w:b w:val="0"/>
            </w:rPr>
            <w:t>University</w:t>
          </w:r>
        </w:smartTag>
        <w:r>
          <w:rPr>
            <w:b w:val="0"/>
          </w:rPr>
          <w:t xml:space="preserve"> of </w:t>
        </w:r>
        <w:smartTag w:uri="urn:schemas-microsoft-com:office:smarttags" w:element="PlaceName">
          <w:r>
            <w:rPr>
              <w:b w:val="0"/>
            </w:rPr>
            <w:t>Nebraska</w:t>
          </w:r>
        </w:smartTag>
      </w:smartTag>
      <w:r>
        <w:rPr>
          <w:b w:val="0"/>
        </w:rPr>
        <w:t xml:space="preserve"> Press, Lincoln. </w:t>
      </w:r>
    </w:p>
    <w:p w:rsidR="00F84A06" w:rsidRDefault="00F84A06" w:rsidP="00F84A06">
      <w:pPr>
        <w:pStyle w:val="Header3"/>
        <w:rPr>
          <w:b w:val="0"/>
        </w:rPr>
      </w:pPr>
    </w:p>
    <w:p w:rsidR="00F84A06" w:rsidRDefault="00F84A06" w:rsidP="00F84A06">
      <w:pPr>
        <w:pStyle w:val="Header3"/>
      </w:pPr>
      <w:smartTag w:uri="urn:schemas-microsoft-com:office:smarttags" w:element="place">
        <w:smartTag w:uri="urn:schemas-microsoft-com:office:smarttags" w:element="PlaceName">
          <w:r>
            <w:rPr>
              <w:b w:val="0"/>
            </w:rPr>
            <w:t>USDA</w:t>
          </w:r>
        </w:smartTag>
        <w:r>
          <w:rPr>
            <w:b w:val="0"/>
          </w:rPr>
          <w:t xml:space="preserve"> </w:t>
        </w:r>
        <w:smartTag w:uri="urn:schemas-microsoft-com:office:smarttags" w:element="PlaceType">
          <w:r>
            <w:rPr>
              <w:b w:val="0"/>
            </w:rPr>
            <w:t>Forest</w:t>
          </w:r>
        </w:smartTag>
      </w:smartTag>
      <w:r>
        <w:rPr>
          <w:b w:val="0"/>
        </w:rPr>
        <w:t xml:space="preserve"> Service. </w:t>
      </w:r>
      <w:r w:rsidRPr="00F84A06">
        <w:rPr>
          <w:b w:val="0"/>
          <w:i/>
        </w:rPr>
        <w:t>Fire effects information system</w:t>
      </w:r>
      <w:r>
        <w:rPr>
          <w:b w:val="0"/>
        </w:rPr>
        <w:t xml:space="preserve">. Accessed 20 October 2005  </w:t>
      </w:r>
      <w:hyperlink r:id="rId11" w:history="1">
        <w:r w:rsidRPr="00C81A62">
          <w:rPr>
            <w:rStyle w:val="Hyperlink"/>
          </w:rPr>
          <w:t>http://www.fs.fed.us/database/feis/</w:t>
        </w:r>
      </w:hyperlink>
    </w:p>
    <w:p w:rsidR="00F84A06" w:rsidRDefault="00F84A06" w:rsidP="00F84A06">
      <w:pPr>
        <w:pStyle w:val="Header3"/>
      </w:pPr>
    </w:p>
    <w:p w:rsidR="00F84A06" w:rsidRDefault="00F84A06" w:rsidP="00F84A06">
      <w:pPr>
        <w:pStyle w:val="Header3"/>
        <w:rPr>
          <w:b w:val="0"/>
        </w:rPr>
      </w:pPr>
      <w:r>
        <w:rPr>
          <w:b w:val="0"/>
        </w:rPr>
        <w:t xml:space="preserve">USDA NRCS. 2006. </w:t>
      </w:r>
      <w:r w:rsidRPr="00F84A06">
        <w:rPr>
          <w:b w:val="0"/>
          <w:i/>
        </w:rPr>
        <w:t>The PLANTS database</w:t>
      </w:r>
      <w:r>
        <w:rPr>
          <w:b w:val="0"/>
        </w:rPr>
        <w:t xml:space="preserve">. &lt;http://plants.usda.gov&gt;. Accessed: 23March2006.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Baton Rouge</w:t>
          </w:r>
        </w:smartTag>
        <w:r>
          <w:rPr>
            <w:b w:val="0"/>
          </w:rPr>
          <w:t xml:space="preserve">, </w:t>
        </w:r>
        <w:smartTag w:uri="urn:schemas-microsoft-com:office:smarttags" w:element="State">
          <w:r>
            <w:rPr>
              <w:b w:val="0"/>
            </w:rPr>
            <w:t>Louisiana</w:t>
          </w:r>
        </w:smartTag>
      </w:smartTag>
    </w:p>
    <w:p w:rsidR="00F84A06" w:rsidRPr="00222F37" w:rsidRDefault="00F84A06" w:rsidP="00F84A06">
      <w:pPr>
        <w:pStyle w:val="Header3"/>
        <w:rPr>
          <w:b w:val="0"/>
        </w:rPr>
      </w:pPr>
    </w:p>
    <w:p w:rsidR="00F84A06" w:rsidRDefault="00F84A06" w:rsidP="00F84A06">
      <w:pPr>
        <w:pStyle w:val="Header3"/>
        <w:rPr>
          <w:b w:val="0"/>
        </w:rPr>
      </w:pPr>
      <w:r w:rsidRPr="00483717">
        <w:rPr>
          <w:b w:val="0"/>
        </w:rPr>
        <w:t>Wink,</w:t>
      </w:r>
      <w:r>
        <w:rPr>
          <w:b w:val="0"/>
        </w:rPr>
        <w:t xml:space="preserve"> R.L. &amp; Wright, H.A. 1973. </w:t>
      </w:r>
      <w:r w:rsidRPr="00F84A06">
        <w:rPr>
          <w:b w:val="0"/>
          <w:i/>
        </w:rPr>
        <w:t>Effects of fire on an ashe juniper community</w:t>
      </w:r>
      <w:r>
        <w:rPr>
          <w:b w:val="0"/>
        </w:rPr>
        <w:t>. J. Range Manage. 26: 326-329.</w:t>
      </w:r>
    </w:p>
    <w:p w:rsidR="00F84A06" w:rsidRPr="00483717" w:rsidRDefault="00F84A06" w:rsidP="00F84A06">
      <w:pPr>
        <w:pStyle w:val="Header3"/>
        <w:rPr>
          <w:b w:val="0"/>
        </w:rPr>
      </w:pPr>
    </w:p>
    <w:p w:rsidR="00CD49CC" w:rsidRDefault="00DD41E3" w:rsidP="00F802DB">
      <w:pPr>
        <w:pStyle w:val="Header3"/>
      </w:pPr>
      <w:r>
        <w:t>Prepared By</w:t>
      </w:r>
    </w:p>
    <w:p w:rsidR="00D21067" w:rsidRPr="00D21067" w:rsidRDefault="00D21067" w:rsidP="00D21067">
      <w:pPr>
        <w:pStyle w:val="Bodytext0"/>
      </w:pPr>
      <w:smartTag w:uri="urn:schemas-microsoft-com:office:smarttags" w:element="PlaceName">
        <w:r w:rsidRPr="00D21067">
          <w:t>USDA</w:t>
        </w:r>
      </w:smartTag>
      <w:r w:rsidRPr="00D21067">
        <w:t xml:space="preserve"> </w:t>
      </w:r>
      <w:smartTag w:uri="urn:schemas-microsoft-com:office:smarttags" w:element="PlaceName">
        <w:r w:rsidRPr="00D21067">
          <w:t>NRCS</w:t>
        </w:r>
      </w:smartTag>
      <w:r w:rsidRPr="00D21067">
        <w:t xml:space="preserve"> </w:t>
      </w:r>
      <w:smartTag w:uri="urn:schemas-microsoft-com:office:smarttags" w:element="PlaceName">
        <w:r w:rsidRPr="00D21067">
          <w:t>Elsberry</w:t>
        </w:r>
      </w:smartTag>
      <w:r w:rsidRPr="00D21067">
        <w:t xml:space="preserve"> </w:t>
      </w:r>
      <w:smartTag w:uri="urn:schemas-microsoft-com:office:smarttags" w:element="PlaceName">
        <w:r w:rsidRPr="00D21067">
          <w:t>Plant</w:t>
        </w:r>
      </w:smartTag>
      <w:r w:rsidRPr="00D21067">
        <w:t xml:space="preserve"> </w:t>
      </w:r>
      <w:smartTag w:uri="urn:schemas-microsoft-com:office:smarttags" w:element="PlaceName">
        <w:r w:rsidRPr="00D21067">
          <w:t>Materials</w:t>
        </w:r>
      </w:smartTag>
      <w:r w:rsidRPr="00D21067">
        <w:t xml:space="preserve"> </w:t>
      </w:r>
      <w:smartTag w:uri="urn:schemas-microsoft-com:office:smarttags" w:element="PlaceType">
        <w:r w:rsidRPr="00D21067">
          <w:t>Center</w:t>
        </w:r>
      </w:smartTag>
      <w:r>
        <w:t xml:space="preserve"> and James Henson, </w:t>
      </w: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CD49CC" w:rsidRDefault="00CD49CC" w:rsidP="00BE5356">
      <w:pPr>
        <w:pStyle w:val="Bodytext0"/>
      </w:pPr>
    </w:p>
    <w:p w:rsidR="00CD49CC" w:rsidRDefault="00DD41E3" w:rsidP="00F802DB">
      <w:pPr>
        <w:pStyle w:val="Header3"/>
      </w:pPr>
      <w:r>
        <w:t>Species Coordinator</w:t>
      </w:r>
    </w:p>
    <w:p w:rsidR="00CD49CC" w:rsidRPr="00D21067" w:rsidRDefault="00D21067" w:rsidP="00BE5356">
      <w:pPr>
        <w:pStyle w:val="Bodytext0"/>
      </w:pPr>
      <w:smartTag w:uri="urn:schemas-microsoft-com:office:smarttags" w:element="PlaceName">
        <w:r w:rsidRPr="00D21067">
          <w:t>USDA</w:t>
        </w:r>
      </w:smartTag>
      <w:r w:rsidRPr="00D21067">
        <w:t xml:space="preserve"> </w:t>
      </w:r>
      <w:smartTag w:uri="urn:schemas-microsoft-com:office:smarttags" w:element="PlaceName">
        <w:r w:rsidRPr="00D21067">
          <w:t>NRCS</w:t>
        </w:r>
      </w:smartTag>
      <w:r w:rsidRPr="00D21067">
        <w:t xml:space="preserve"> </w:t>
      </w:r>
      <w:smartTag w:uri="urn:schemas-microsoft-com:office:smarttags" w:element="PlaceName">
        <w:r w:rsidRPr="00D21067">
          <w:t>Elsberry</w:t>
        </w:r>
      </w:smartTag>
      <w:r w:rsidRPr="00D21067">
        <w:t xml:space="preserve"> </w:t>
      </w:r>
      <w:smartTag w:uri="urn:schemas-microsoft-com:office:smarttags" w:element="PlaceName">
        <w:r w:rsidRPr="00D21067">
          <w:t>Plant</w:t>
        </w:r>
      </w:smartTag>
      <w:r w:rsidRPr="00D21067">
        <w:t xml:space="preserve"> </w:t>
      </w:r>
      <w:smartTag w:uri="urn:schemas-microsoft-com:office:smarttags" w:element="PlaceName">
        <w:r w:rsidRPr="00D21067">
          <w:t>Materials</w:t>
        </w:r>
      </w:smartTag>
      <w:r w:rsidRPr="00D21067">
        <w:t xml:space="preserve"> </w:t>
      </w:r>
      <w:smartTag w:uri="urn:schemas-microsoft-com:office:smarttags" w:element="PlaceType">
        <w:r w:rsidRPr="00D21067">
          <w:t>Center</w:t>
        </w:r>
      </w:smartTag>
      <w:r>
        <w:t xml:space="preserve">, </w:t>
      </w:r>
      <w:smartTag w:uri="urn:schemas-microsoft-com:office:smarttags" w:element="place">
        <w:smartTag w:uri="urn:schemas-microsoft-com:office:smarttags" w:element="City">
          <w:r>
            <w:t>Elsberry</w:t>
          </w:r>
        </w:smartTag>
        <w:r>
          <w:t xml:space="preserve">, </w:t>
        </w:r>
        <w:smartTag w:uri="urn:schemas-microsoft-com:office:smarttags" w:element="State">
          <w:r>
            <w:t>Missouri</w:t>
          </w:r>
        </w:smartTag>
      </w:smartTag>
    </w:p>
    <w:p w:rsidR="00D21067" w:rsidRPr="00D21067" w:rsidRDefault="00D21067" w:rsidP="00BE5356">
      <w:pPr>
        <w:pStyle w:val="Bodytext0"/>
      </w:pPr>
    </w:p>
    <w:p w:rsidR="00CD49CC" w:rsidRDefault="002375B8" w:rsidP="00FF0390">
      <w:pPr>
        <w:pStyle w:val="Header4"/>
      </w:pPr>
      <w:r>
        <w:t xml:space="preserve">Edited: </w:t>
      </w:r>
      <w:r w:rsidR="00D21067">
        <w:t>23March2006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Default="00DD41E3" w:rsidP="00DD41E3">
      <w:pPr>
        <w:pStyle w:val="Bodytext0"/>
      </w:pP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1EF2" w:rsidRDefault="00611EF2">
      <w:r>
        <w:separator/>
      </w:r>
    </w:p>
  </w:endnote>
  <w:endnote w:type="continuationSeparator" w:id="0">
    <w:p w:rsidR="00611EF2" w:rsidRDefault="00611E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1EF2" w:rsidRDefault="00611EF2">
      <w:r>
        <w:separator/>
      </w:r>
    </w:p>
  </w:footnote>
  <w:footnote w:type="continuationSeparator" w:id="0">
    <w:p w:rsidR="00611EF2" w:rsidRDefault="00611E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5F2FD7">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5F2FD7">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945F5"/>
    <w:rsid w:val="001C4209"/>
    <w:rsid w:val="001D6A53"/>
    <w:rsid w:val="001F7210"/>
    <w:rsid w:val="002148DF"/>
    <w:rsid w:val="00222F37"/>
    <w:rsid w:val="002375B8"/>
    <w:rsid w:val="0026727E"/>
    <w:rsid w:val="00290A36"/>
    <w:rsid w:val="0036701D"/>
    <w:rsid w:val="003749B3"/>
    <w:rsid w:val="00377934"/>
    <w:rsid w:val="00395D33"/>
    <w:rsid w:val="004032F8"/>
    <w:rsid w:val="004052E3"/>
    <w:rsid w:val="00416D52"/>
    <w:rsid w:val="004340C9"/>
    <w:rsid w:val="004364E5"/>
    <w:rsid w:val="00437F11"/>
    <w:rsid w:val="004A50AC"/>
    <w:rsid w:val="004D6C0D"/>
    <w:rsid w:val="004E2BD6"/>
    <w:rsid w:val="00520FAC"/>
    <w:rsid w:val="00592CFA"/>
    <w:rsid w:val="005A2740"/>
    <w:rsid w:val="005F2FD7"/>
    <w:rsid w:val="00611EF2"/>
    <w:rsid w:val="0061608E"/>
    <w:rsid w:val="006333FE"/>
    <w:rsid w:val="006564CC"/>
    <w:rsid w:val="006B4B3E"/>
    <w:rsid w:val="00712AC4"/>
    <w:rsid w:val="007A3680"/>
    <w:rsid w:val="008B3C33"/>
    <w:rsid w:val="008E6018"/>
    <w:rsid w:val="008F3D5A"/>
    <w:rsid w:val="00932EB4"/>
    <w:rsid w:val="00A06FE6"/>
    <w:rsid w:val="00A12175"/>
    <w:rsid w:val="00AD30BE"/>
    <w:rsid w:val="00B647F7"/>
    <w:rsid w:val="00B755F2"/>
    <w:rsid w:val="00B8425D"/>
    <w:rsid w:val="00BE5356"/>
    <w:rsid w:val="00BF44A8"/>
    <w:rsid w:val="00C71B7B"/>
    <w:rsid w:val="00CD49CC"/>
    <w:rsid w:val="00CF7EC1"/>
    <w:rsid w:val="00D21067"/>
    <w:rsid w:val="00D62818"/>
    <w:rsid w:val="00DD41E3"/>
    <w:rsid w:val="00E93233"/>
    <w:rsid w:val="00F1350F"/>
    <w:rsid w:val="00F43617"/>
    <w:rsid w:val="00F52BD1"/>
    <w:rsid w:val="00F725B1"/>
    <w:rsid w:val="00F72ADF"/>
    <w:rsid w:val="00F802DB"/>
    <w:rsid w:val="00F84A06"/>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fs.fed.us/database/feis/"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www.lib.ksu.edu/wildflow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nativeplants.for.uidaho.edu/network/PreviewResults.asp"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COMPOSITE DROPSEED</vt:lpstr>
    </vt:vector>
  </TitlesOfParts>
  <Company>USDA NRCS National Plant Data Center</Company>
  <LinksUpToDate>false</LinksUpToDate>
  <CharactersWithSpaces>10529</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6488176</vt:i4>
      </vt:variant>
      <vt:variant>
        <vt:i4>6</vt:i4>
      </vt:variant>
      <vt:variant>
        <vt:i4>0</vt:i4>
      </vt:variant>
      <vt:variant>
        <vt:i4>5</vt:i4>
      </vt:variant>
      <vt:variant>
        <vt:lpwstr>http://www.fs.fed.us/database/feis/</vt:lpwstr>
      </vt:variant>
      <vt:variant>
        <vt:lpwstr/>
      </vt:variant>
      <vt:variant>
        <vt:i4>7536741</vt:i4>
      </vt:variant>
      <vt:variant>
        <vt:i4>3</vt:i4>
      </vt:variant>
      <vt:variant>
        <vt:i4>0</vt:i4>
      </vt:variant>
      <vt:variant>
        <vt:i4>5</vt:i4>
      </vt:variant>
      <vt:variant>
        <vt:lpwstr>http://www.lib.ksu.edu/wildflower/</vt:lpwstr>
      </vt:variant>
      <vt:variant>
        <vt:lpwstr/>
      </vt:variant>
      <vt:variant>
        <vt:i4>1441868</vt:i4>
      </vt:variant>
      <vt:variant>
        <vt:i4>0</vt:i4>
      </vt:variant>
      <vt:variant>
        <vt:i4>0</vt:i4>
      </vt:variant>
      <vt:variant>
        <vt:i4>5</vt:i4>
      </vt:variant>
      <vt:variant>
        <vt:lpwstr>http://nativeplants.for.uidaho.edu/network/PreviewResults.asp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COMPOSITE DROPSEED</dc:title>
  <dc:subject>Sporobolus compositus (Poir.) Merr. var. compositus</dc:subject>
  <dc:creator>J. Scott Peterson</dc:creator>
  <cp:keywords/>
  <cp:lastModifiedBy>William Farrell</cp:lastModifiedBy>
  <cp:revision>2</cp:revision>
  <cp:lastPrinted>2003-06-09T21:39:00Z</cp:lastPrinted>
  <dcterms:created xsi:type="dcterms:W3CDTF">2011-01-25T22:53:00Z</dcterms:created>
  <dcterms:modified xsi:type="dcterms:W3CDTF">2011-01-25T22:53:00Z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