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A60785" w:rsidP="000578C2">
            <w:pPr>
              <w:pStyle w:val="TitleHeader"/>
              <w:rPr>
                <w:i/>
              </w:rPr>
            </w:pPr>
            <w:r>
              <w:lastRenderedPageBreak/>
              <w:t xml:space="preserve">highbush </w:t>
            </w:r>
            <w:r w:rsidR="00CC3B5E">
              <w:t>Blueberry</w:t>
            </w:r>
          </w:p>
        </w:tc>
      </w:tr>
      <w:tr w:rsidR="00CD49CC">
        <w:tblPrEx>
          <w:tblCellMar>
            <w:top w:w="0" w:type="dxa"/>
            <w:bottom w:w="0" w:type="dxa"/>
          </w:tblCellMar>
        </w:tblPrEx>
        <w:tc>
          <w:tcPr>
            <w:tcW w:w="4410" w:type="dxa"/>
          </w:tcPr>
          <w:p w:rsidR="00CD49CC" w:rsidRPr="00C95C6F" w:rsidRDefault="00A60785" w:rsidP="008F6154">
            <w:pPr>
              <w:pStyle w:val="Titlesubheader1"/>
            </w:pPr>
            <w:r>
              <w:rPr>
                <w:i/>
              </w:rPr>
              <w:t>Vaccinium corymbosum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60785">
              <w:t>VACO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60785">
          <w:t>USDA</w:t>
        </w:r>
      </w:smartTag>
      <w:r w:rsidR="00A60785">
        <w:t xml:space="preserve"> </w:t>
      </w:r>
      <w:smartTag w:uri="urn:schemas-microsoft-com:office:smarttags" w:element="PlaceName">
        <w:r w:rsidR="00A60785">
          <w:t>NRCS</w:t>
        </w:r>
      </w:smartTag>
      <w:r w:rsidR="00A60785">
        <w:t xml:space="preserve"> </w:t>
      </w:r>
      <w:smartTag w:uri="urn:schemas-microsoft-com:office:smarttags" w:element="PlaceName">
        <w:r w:rsidR="00A60785">
          <w:t>National</w:t>
        </w:r>
      </w:smartTag>
      <w:r w:rsidR="00A60785">
        <w:t xml:space="preserve"> </w:t>
      </w:r>
      <w:smartTag w:uri="urn:schemas-microsoft-com:office:smarttags" w:element="PlaceName">
        <w:r w:rsidR="00A60785">
          <w:t>Plant</w:t>
        </w:r>
      </w:smartTag>
      <w:r w:rsidR="00A60785">
        <w:t xml:space="preserve"> </w:t>
      </w:r>
      <w:smartTag w:uri="urn:schemas-microsoft-com:office:smarttags" w:element="PlaceName">
        <w:r w:rsidR="00A60785">
          <w:t>Data</w:t>
        </w:r>
      </w:smartTag>
      <w:r w:rsidR="00A60785">
        <w:t xml:space="preserve"> </w:t>
      </w:r>
      <w:smartTag w:uri="urn:schemas-microsoft-com:office:smarttags" w:element="PlaceType">
        <w:r w:rsidR="00A60785">
          <w:t>Center</w:t>
        </w:r>
      </w:smartTag>
      <w:r w:rsidR="00A60785">
        <w:t xml:space="preserve"> &amp; the Biota of </w:t>
      </w:r>
      <w:smartTag w:uri="urn:schemas-microsoft-com:office:smarttags" w:element="place">
        <w:r w:rsidR="00A60785">
          <w:t>North America</w:t>
        </w:r>
      </w:smartTag>
      <w:r w:rsidR="00A60785">
        <w:t xml:space="preserve"> Program</w:t>
      </w:r>
    </w:p>
    <w:p w:rsidR="00D53A51" w:rsidRDefault="00D53A51" w:rsidP="004911C7">
      <w:pPr>
        <w:pStyle w:val="Heading3"/>
        <w:ind w:left="0" w:right="0"/>
        <w:jc w:val="left"/>
        <w:rPr>
          <w:color w:val="auto"/>
        </w:rPr>
      </w:pPr>
    </w:p>
    <w:p w:rsidR="00AB3EFD" w:rsidRPr="00AB3EFD" w:rsidRDefault="00AB3EFD" w:rsidP="00AB3EFD">
      <w:pPr>
        <w:pStyle w:val="Heading2"/>
        <w:jc w:val="left"/>
        <w:rPr>
          <w:color w:val="auto"/>
          <w:sz w:val="20"/>
        </w:rPr>
      </w:pPr>
      <w:r w:rsidRPr="00AB3EFD">
        <w:rPr>
          <w:color w:val="auto"/>
          <w:sz w:val="20"/>
        </w:rPr>
        <w:t>Alternate Names</w:t>
      </w:r>
    </w:p>
    <w:p w:rsidR="00AB3EFD" w:rsidRPr="00AB3EFD" w:rsidRDefault="00AB3EFD" w:rsidP="00AB3EFD">
      <w:pPr>
        <w:jc w:val="left"/>
        <w:rPr>
          <w:sz w:val="20"/>
        </w:rPr>
      </w:pPr>
      <w:r w:rsidRPr="00AB3EFD">
        <w:rPr>
          <w:sz w:val="20"/>
        </w:rPr>
        <w:t>Northern highbush blueberry,</w:t>
      </w:r>
      <w:r w:rsidRPr="00AB3EFD">
        <w:rPr>
          <w:b/>
          <w:sz w:val="20"/>
        </w:rPr>
        <w:t xml:space="preserve"> </w:t>
      </w:r>
      <w:r w:rsidRPr="00AB3EFD">
        <w:rPr>
          <w:sz w:val="20"/>
        </w:rPr>
        <w:t xml:space="preserve">southeastern highbush blueberry, Maryland highbush blueberry, black highbush blueberry, American blueberry, New Jersey blueberry, rabbiteye blueberry, swamp blueberry, tall huckleberry, mayberry, whortleberry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Uses</w:t>
      </w:r>
    </w:p>
    <w:p w:rsidR="00AB3EFD" w:rsidRPr="00AB3EFD" w:rsidRDefault="00AB3EFD" w:rsidP="00AB3EFD">
      <w:pPr>
        <w:jc w:val="left"/>
        <w:rPr>
          <w:sz w:val="20"/>
        </w:rPr>
      </w:pPr>
      <w:r w:rsidRPr="00AB3EFD">
        <w:rPr>
          <w:sz w:val="20"/>
        </w:rPr>
        <w:t xml:space="preserve">Highbush blueberry is the major blueberry of commerce.  It is extensively cultivated in </w:t>
      </w:r>
      <w:smartTag w:uri="urn:schemas-microsoft-com:office:smarttags" w:element="State">
        <w:r w:rsidRPr="00AB3EFD">
          <w:rPr>
            <w:sz w:val="20"/>
          </w:rPr>
          <w:t>New Jersey</w:t>
        </w:r>
      </w:smartTag>
      <w:r w:rsidRPr="00AB3EFD">
        <w:rPr>
          <w:sz w:val="20"/>
        </w:rPr>
        <w:t xml:space="preserve">, </w:t>
      </w:r>
      <w:smartTag w:uri="urn:schemas-microsoft-com:office:smarttags" w:element="State">
        <w:r w:rsidRPr="00AB3EFD">
          <w:rPr>
            <w:sz w:val="20"/>
          </w:rPr>
          <w:t>Michigan</w:t>
        </w:r>
      </w:smartTag>
      <w:r w:rsidRPr="00AB3EFD">
        <w:rPr>
          <w:sz w:val="20"/>
        </w:rPr>
        <w:t xml:space="preserve">, </w:t>
      </w:r>
      <w:smartTag w:uri="urn:schemas-microsoft-com:office:smarttags" w:element="State">
        <w:r w:rsidRPr="00AB3EFD">
          <w:rPr>
            <w:sz w:val="20"/>
          </w:rPr>
          <w:t>North Carolina</w:t>
        </w:r>
      </w:smartTag>
      <w:r w:rsidRPr="00AB3EFD">
        <w:rPr>
          <w:sz w:val="20"/>
        </w:rPr>
        <w:t xml:space="preserve">, and </w:t>
      </w:r>
      <w:smartTag w:uri="urn:schemas-microsoft-com:office:smarttags" w:element="State">
        <w:r w:rsidRPr="00AB3EFD">
          <w:rPr>
            <w:sz w:val="20"/>
          </w:rPr>
          <w:t>Washington</w:t>
        </w:r>
      </w:smartTag>
      <w:r w:rsidRPr="00AB3EFD">
        <w:rPr>
          <w:sz w:val="20"/>
        </w:rPr>
        <w:t xml:space="preserve"> and to a lesser extent in </w:t>
      </w:r>
      <w:smartTag w:uri="urn:schemas-microsoft-com:office:smarttags" w:element="country-region">
        <w:r w:rsidRPr="00AB3EFD">
          <w:rPr>
            <w:sz w:val="20"/>
          </w:rPr>
          <w:t>Georgia</w:t>
        </w:r>
      </w:smartTag>
      <w:r w:rsidRPr="00AB3EFD">
        <w:rPr>
          <w:sz w:val="20"/>
        </w:rPr>
        <w:t xml:space="preserve">, </w:t>
      </w:r>
      <w:smartTag w:uri="urn:schemas-microsoft-com:office:smarttags" w:element="State">
        <w:r w:rsidRPr="00AB3EFD">
          <w:rPr>
            <w:sz w:val="20"/>
          </w:rPr>
          <w:t>Florida</w:t>
        </w:r>
      </w:smartTag>
      <w:r w:rsidRPr="00AB3EFD">
        <w:rPr>
          <w:sz w:val="20"/>
        </w:rPr>
        <w:t xml:space="preserve">, </w:t>
      </w:r>
      <w:smartTag w:uri="urn:schemas-microsoft-com:office:smarttags" w:element="State">
        <w:r w:rsidRPr="00AB3EFD">
          <w:rPr>
            <w:sz w:val="20"/>
          </w:rPr>
          <w:t>Indiana</w:t>
        </w:r>
      </w:smartTag>
      <w:r w:rsidRPr="00AB3EFD">
        <w:rPr>
          <w:sz w:val="20"/>
        </w:rPr>
        <w:t xml:space="preserve">, </w:t>
      </w:r>
      <w:smartTag w:uri="urn:schemas-microsoft-com:office:smarttags" w:element="State">
        <w:r w:rsidRPr="00AB3EFD">
          <w:rPr>
            <w:sz w:val="20"/>
          </w:rPr>
          <w:t>Ohio</w:t>
        </w:r>
      </w:smartTag>
      <w:r w:rsidRPr="00AB3EFD">
        <w:rPr>
          <w:sz w:val="20"/>
        </w:rPr>
        <w:t xml:space="preserve">, </w:t>
      </w:r>
      <w:smartTag w:uri="urn:schemas-microsoft-com:office:smarttags" w:element="State">
        <w:r w:rsidRPr="00AB3EFD">
          <w:rPr>
            <w:sz w:val="20"/>
          </w:rPr>
          <w:t>Pennsylvania</w:t>
        </w:r>
      </w:smartTag>
      <w:r w:rsidRPr="00AB3EFD">
        <w:rPr>
          <w:sz w:val="20"/>
        </w:rPr>
        <w:t xml:space="preserve">, </w:t>
      </w:r>
      <w:smartTag w:uri="urn:schemas-microsoft-com:office:smarttags" w:element="City">
        <w:r w:rsidRPr="00AB3EFD">
          <w:rPr>
            <w:sz w:val="20"/>
          </w:rPr>
          <w:t>New York</w:t>
        </w:r>
      </w:smartTag>
      <w:r w:rsidRPr="00AB3EFD">
        <w:rPr>
          <w:sz w:val="20"/>
        </w:rPr>
        <w:t xml:space="preserve">, </w:t>
      </w:r>
      <w:smartTag w:uri="urn:schemas-microsoft-com:office:smarttags" w:element="State">
        <w:r w:rsidRPr="00AB3EFD">
          <w:rPr>
            <w:sz w:val="20"/>
          </w:rPr>
          <w:t>Massachusetts</w:t>
        </w:r>
      </w:smartTag>
      <w:r w:rsidRPr="00AB3EFD">
        <w:rPr>
          <w:sz w:val="20"/>
        </w:rPr>
        <w:t xml:space="preserve">, </w:t>
      </w:r>
      <w:smartTag w:uri="urn:schemas-microsoft-com:office:smarttags" w:element="State">
        <w:r w:rsidRPr="00AB3EFD">
          <w:rPr>
            <w:sz w:val="20"/>
          </w:rPr>
          <w:t>British Columbia</w:t>
        </w:r>
      </w:smartTag>
      <w:r w:rsidRPr="00AB3EFD">
        <w:rPr>
          <w:sz w:val="20"/>
        </w:rPr>
        <w:t xml:space="preserve">, </w:t>
      </w:r>
      <w:smartTag w:uri="urn:schemas-microsoft-com:office:smarttags" w:element="City">
        <w:r w:rsidRPr="00AB3EFD">
          <w:rPr>
            <w:sz w:val="20"/>
          </w:rPr>
          <w:t>Ontario</w:t>
        </w:r>
      </w:smartTag>
      <w:r w:rsidRPr="00AB3EFD">
        <w:rPr>
          <w:sz w:val="20"/>
        </w:rPr>
        <w:t xml:space="preserve">, </w:t>
      </w:r>
      <w:smartTag w:uri="urn:schemas-microsoft-com:office:smarttags" w:element="State">
        <w:r w:rsidRPr="00AB3EFD">
          <w:rPr>
            <w:sz w:val="20"/>
          </w:rPr>
          <w:t>Quebec</w:t>
        </w:r>
      </w:smartTag>
      <w:r w:rsidRPr="00AB3EFD">
        <w:rPr>
          <w:sz w:val="20"/>
        </w:rPr>
        <w:t xml:space="preserve">, and </w:t>
      </w:r>
      <w:smartTag w:uri="urn:schemas-microsoft-com:office:smarttags" w:element="State">
        <w:smartTag w:uri="urn:schemas-microsoft-com:office:smarttags" w:element="place">
          <w:r w:rsidRPr="00AB3EFD">
            <w:rPr>
              <w:sz w:val="20"/>
            </w:rPr>
            <w:t>Nova Scotia</w:t>
          </w:r>
        </w:smartTag>
      </w:smartTag>
      <w:r w:rsidRPr="00AB3EFD">
        <w:rPr>
          <w:sz w:val="20"/>
        </w:rPr>
        <w:t xml:space="preserve">.  In 1989, there were over 100,000 acres in commercial fruit production in </w:t>
      </w:r>
      <w:smartTag w:uri="urn:schemas-microsoft-com:office:smarttags" w:element="place">
        <w:r w:rsidRPr="00AB3EFD">
          <w:rPr>
            <w:sz w:val="20"/>
          </w:rPr>
          <w:t>North America</w:t>
        </w:r>
      </w:smartTag>
      <w:r w:rsidRPr="00AB3EFD">
        <w:rPr>
          <w:sz w:val="20"/>
        </w:rPr>
        <w:t xml:space="preserve">.  More than 50 cultivars highbush blueberry have been developed, primarily based on selections for commercially valuable fruit characteristics and seasonality.  Good summaries of information relating to commercial fruit production are available (see Reiger 2000; Garrison 1998).  A few selections are used in landscaping, especially where they might be planted in wet places and to attract wildlife.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The berries are eaten raw, smoke­dried, sun-dried, boiled, and baked -- in a wide variety of culinary settings.  They have one of the highest concentrations </w:t>
      </w:r>
      <w:r w:rsidRPr="00AB3EFD">
        <w:rPr>
          <w:sz w:val="20"/>
        </w:rPr>
        <w:lastRenderedPageBreak/>
        <w:t xml:space="preserve">of iron of the temperate fruits.  The fruits provide important summer and early fall food for numerous species of game birds, songbirds, and mammals.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Status</w:t>
      </w:r>
    </w:p>
    <w:p w:rsidR="00AB3EFD" w:rsidRPr="00AB3EFD" w:rsidRDefault="00AB3EFD" w:rsidP="00AB3EFD">
      <w:pPr>
        <w:jc w:val="left"/>
        <w:rPr>
          <w:sz w:val="20"/>
        </w:rPr>
      </w:pPr>
      <w:r w:rsidRPr="00AB3EFD">
        <w:rPr>
          <w:sz w:val="20"/>
        </w:rPr>
        <w:t>Please consult the PLANTS Web site and your State Department of Natural Resources for this plant’s current status, such as, state noxious status and wetland indicator values.</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445.8pt;width:201.6pt;height:151.2pt;z-index:251657728" stroked="f">
            <v:textbox>
              <w:txbxContent>
                <w:p w:rsidR="00AB3EFD" w:rsidRDefault="003B1D2A" w:rsidP="00AB3EFD">
                  <w:r>
                    <w:rPr>
                      <w:noProof/>
                    </w:rPr>
                    <w:drawing>
                      <wp:inline distT="0" distB="0" distL="0" distR="0">
                        <wp:extent cx="2371725" cy="1590675"/>
                        <wp:effectExtent l="19050" t="0" r="9525" b="0"/>
                        <wp:docPr id="2" name="Picture 2" descr="Image of Highbush blueberry (Vaccinium corymb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ighbush blueberry (Vaccinium corymbosum)"/>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AB3EFD" w:rsidRDefault="00AB3EFD" w:rsidP="00AB3EFD">
                  <w:pPr>
                    <w:jc w:val="right"/>
                    <w:rPr>
                      <w:sz w:val="16"/>
                    </w:rPr>
                  </w:pPr>
                  <w:r>
                    <w:rPr>
                      <w:sz w:val="16"/>
                    </w:rPr>
                    <w:t>Botany Dept., NMNH, Smithsonian Institution</w:t>
                  </w:r>
                </w:p>
                <w:p w:rsidR="00AB3EFD" w:rsidRDefault="00AB3EFD" w:rsidP="00AB3EFD">
                  <w:pPr>
                    <w:jc w:val="right"/>
                    <w:rPr>
                      <w:sz w:val="16"/>
                    </w:rPr>
                  </w:pPr>
                  <w:r>
                    <w:rPr>
                      <w:sz w:val="16"/>
                    </w:rPr>
                    <w:t>@ PLANTS</w:t>
                  </w:r>
                </w:p>
              </w:txbxContent>
            </v:textbox>
            <w10:wrap type="topAndBottom"/>
          </v:shape>
        </w:pict>
      </w:r>
      <w:r w:rsidRPr="00AB3EFD">
        <w:rPr>
          <w:color w:val="auto"/>
          <w:sz w:val="20"/>
        </w:rPr>
        <w:t>Description</w:t>
      </w:r>
    </w:p>
    <w:p w:rsidR="00AB3EFD" w:rsidRPr="00AB3EFD" w:rsidRDefault="00AB3EFD" w:rsidP="00AB3EFD">
      <w:pPr>
        <w:jc w:val="left"/>
        <w:rPr>
          <w:sz w:val="20"/>
        </w:rPr>
      </w:pPr>
      <w:r w:rsidRPr="00AB3EFD">
        <w:rPr>
          <w:i/>
          <w:sz w:val="20"/>
        </w:rPr>
        <w:t>General</w:t>
      </w:r>
      <w:r w:rsidRPr="00AB3EFD">
        <w:rPr>
          <w:sz w:val="20"/>
        </w:rPr>
        <w:t xml:space="preserve">: Heath family (Ericaceae).  Native shrubs 2-3(-4) meters tall, crown-forming, forming dense colonies, the twigs warty and yellow-green, glabrous.  Leaves deciduous, alternate, simple, narrow to broadly elliptic or ovate, 3.8-8.2 cm long, pubescent at least on the veins beneath, slightly waxy above, the edges smooth and ciliate to toothed.  Flowers 8-10 in a cluster, 6-12 mm long, urn-shaped, white, with 5 petals.  Fruits berries are 5-12 mm wide, blue to blue-black and many-seeded.  The common name refers to the relatively tall stature of these plants.  </w:t>
      </w:r>
    </w:p>
    <w:p w:rsidR="00AB3EFD" w:rsidRPr="00AB3EFD" w:rsidRDefault="00AB3EFD" w:rsidP="00AB3EFD">
      <w:pPr>
        <w:jc w:val="left"/>
        <w:rPr>
          <w:sz w:val="20"/>
        </w:rPr>
      </w:pPr>
    </w:p>
    <w:p w:rsidR="00AB3EFD" w:rsidRPr="00AB3EFD" w:rsidRDefault="00AB3EFD" w:rsidP="00AB3EFD">
      <w:pPr>
        <w:jc w:val="left"/>
        <w:rPr>
          <w:sz w:val="20"/>
        </w:rPr>
      </w:pPr>
      <w:r w:rsidRPr="00AB3EFD">
        <w:rPr>
          <w:i/>
          <w:sz w:val="20"/>
        </w:rPr>
        <w:t>Variation within the species</w:t>
      </w:r>
      <w:r w:rsidRPr="00AB3EFD">
        <w:rPr>
          <w:sz w:val="20"/>
        </w:rPr>
        <w:t xml:space="preserve">: The highbush blueberry complex is highly variable and includes diploids, tetraploids, hexaploids, and various hybrid combinations.  Recent studies (Vander Kloet in 1980 and 1988) have recommended treating the complex very broadly, using only the single name </w:t>
      </w:r>
      <w:r w:rsidRPr="00AB3EFD">
        <w:rPr>
          <w:i/>
          <w:sz w:val="20"/>
        </w:rPr>
        <w:t>V. corymbosum</w:t>
      </w:r>
      <w:r w:rsidRPr="00AB3EFD">
        <w:rPr>
          <w:sz w:val="20"/>
        </w:rPr>
        <w:t xml:space="preserve">, but not all authors have accepted that (for example, see Uttall 1986, 1987).  As treated in the PLANTS database, the complex includes a group of interrelated species that have generally been recognized as “highbush” blueberries – these species* (or hybrids), with synonyms, are listed below.  </w:t>
      </w:r>
    </w:p>
    <w:p w:rsidR="00AB3EFD" w:rsidRPr="00AB3EFD" w:rsidRDefault="00AB3EFD" w:rsidP="00AB3EFD">
      <w:pPr>
        <w:jc w:val="left"/>
        <w:rPr>
          <w:sz w:val="20"/>
        </w:rPr>
      </w:pPr>
    </w:p>
    <w:p w:rsidR="00AB3EFD" w:rsidRPr="00AB3EFD" w:rsidRDefault="00AB3EFD" w:rsidP="00AB3EFD">
      <w:pPr>
        <w:jc w:val="left"/>
        <w:rPr>
          <w:sz w:val="20"/>
        </w:rPr>
      </w:pPr>
      <w:r w:rsidRPr="00AB3EFD">
        <w:rPr>
          <w:i/>
          <w:sz w:val="20"/>
        </w:rPr>
        <w:t>* Vaccinium X atlanticum</w:t>
      </w:r>
      <w:r w:rsidRPr="00AB3EFD">
        <w:rPr>
          <w:sz w:val="20"/>
        </w:rPr>
        <w:t xml:space="preserve"> Bicknell</w:t>
      </w:r>
    </w:p>
    <w:p w:rsidR="00AB3EFD" w:rsidRPr="00AB3EFD" w:rsidRDefault="00AB3EFD" w:rsidP="00AB3EFD">
      <w:pPr>
        <w:jc w:val="left"/>
        <w:rPr>
          <w:sz w:val="20"/>
        </w:rPr>
      </w:pPr>
      <w:r w:rsidRPr="00AB3EFD">
        <w:rPr>
          <w:i/>
          <w:sz w:val="20"/>
        </w:rPr>
        <w:t>* Vaccinium corymbosum</w:t>
      </w:r>
      <w:r w:rsidRPr="00AB3EFD">
        <w:rPr>
          <w:sz w:val="20"/>
        </w:rPr>
        <w:t xml:space="preserve"> L.</w:t>
      </w:r>
    </w:p>
    <w:p w:rsidR="00AB3EFD" w:rsidRPr="00AB3EFD" w:rsidRDefault="00AB3EFD" w:rsidP="00AB3EFD">
      <w:pPr>
        <w:jc w:val="left"/>
        <w:rPr>
          <w:sz w:val="20"/>
        </w:rPr>
      </w:pPr>
      <w:r w:rsidRPr="00AB3EFD">
        <w:rPr>
          <w:sz w:val="20"/>
        </w:rPr>
        <w:t xml:space="preserve">      synonym: </w:t>
      </w:r>
      <w:r w:rsidRPr="00AB3EFD">
        <w:rPr>
          <w:i/>
          <w:sz w:val="20"/>
        </w:rPr>
        <w:t>Vaccinium constablaei</w:t>
      </w:r>
      <w:r w:rsidRPr="00AB3EFD">
        <w:rPr>
          <w:sz w:val="20"/>
        </w:rPr>
        <w:t xml:space="preserve"> Gray</w:t>
      </w:r>
    </w:p>
    <w:p w:rsidR="00AB3EFD" w:rsidRPr="00AB3EFD" w:rsidRDefault="00AB3EFD" w:rsidP="00AB3EFD">
      <w:pPr>
        <w:jc w:val="left"/>
        <w:rPr>
          <w:sz w:val="20"/>
        </w:rPr>
      </w:pPr>
      <w:r w:rsidRPr="00AB3EFD">
        <w:rPr>
          <w:sz w:val="20"/>
        </w:rPr>
        <w:t xml:space="preserve"> </w:t>
      </w:r>
      <w:r w:rsidRPr="00AB3EFD">
        <w:rPr>
          <w:i/>
          <w:sz w:val="20"/>
        </w:rPr>
        <w:t>* Vaccinium formosum</w:t>
      </w:r>
      <w:r w:rsidRPr="00AB3EFD">
        <w:rPr>
          <w:sz w:val="20"/>
        </w:rPr>
        <w:t xml:space="preserve"> Andr.</w:t>
      </w:r>
    </w:p>
    <w:p w:rsidR="00AB3EFD" w:rsidRPr="00AB3EFD" w:rsidRDefault="00AB3EFD" w:rsidP="00AB3EFD">
      <w:pPr>
        <w:jc w:val="left"/>
        <w:rPr>
          <w:sz w:val="20"/>
        </w:rPr>
      </w:pPr>
      <w:r w:rsidRPr="00AB3EFD">
        <w:rPr>
          <w:sz w:val="20"/>
        </w:rPr>
        <w:t xml:space="preserve">      synonym: </w:t>
      </w:r>
      <w:r w:rsidRPr="00AB3EFD">
        <w:rPr>
          <w:i/>
          <w:sz w:val="20"/>
        </w:rPr>
        <w:t>Vaccinium australe</w:t>
      </w:r>
      <w:r w:rsidRPr="00AB3EFD">
        <w:rPr>
          <w:sz w:val="20"/>
        </w:rPr>
        <w:t xml:space="preserve"> Small</w:t>
      </w:r>
    </w:p>
    <w:p w:rsidR="00AB3EFD" w:rsidRPr="00AB3EFD" w:rsidRDefault="00AB3EFD" w:rsidP="00AB3EFD">
      <w:pPr>
        <w:jc w:val="left"/>
        <w:rPr>
          <w:sz w:val="20"/>
        </w:rPr>
      </w:pPr>
      <w:r w:rsidRPr="00AB3EFD">
        <w:rPr>
          <w:i/>
          <w:sz w:val="20"/>
        </w:rPr>
        <w:t>* Vaccinium fuscatum</w:t>
      </w:r>
      <w:r w:rsidRPr="00AB3EFD">
        <w:rPr>
          <w:sz w:val="20"/>
        </w:rPr>
        <w:t xml:space="preserve"> Ait. </w:t>
      </w:r>
    </w:p>
    <w:p w:rsidR="00AB3EFD" w:rsidRPr="00AB3EFD" w:rsidRDefault="00AB3EFD" w:rsidP="00AB3EFD">
      <w:pPr>
        <w:jc w:val="left"/>
        <w:rPr>
          <w:sz w:val="20"/>
        </w:rPr>
      </w:pPr>
      <w:r w:rsidRPr="00AB3EFD">
        <w:rPr>
          <w:sz w:val="20"/>
        </w:rPr>
        <w:t xml:space="preserve">      synonym: </w:t>
      </w:r>
      <w:r w:rsidRPr="00AB3EFD">
        <w:rPr>
          <w:i/>
          <w:sz w:val="20"/>
        </w:rPr>
        <w:t>Vaccinium arkansanum</w:t>
      </w:r>
      <w:r w:rsidRPr="00AB3EFD">
        <w:rPr>
          <w:sz w:val="20"/>
        </w:rPr>
        <w:t xml:space="preserve"> Ashe</w:t>
      </w:r>
    </w:p>
    <w:p w:rsidR="00AB3EFD" w:rsidRPr="00AB3EFD" w:rsidRDefault="00AB3EFD" w:rsidP="00AB3EFD">
      <w:pPr>
        <w:jc w:val="left"/>
        <w:rPr>
          <w:sz w:val="20"/>
        </w:rPr>
      </w:pPr>
      <w:r w:rsidRPr="00AB3EFD">
        <w:rPr>
          <w:sz w:val="20"/>
        </w:rPr>
        <w:t xml:space="preserve">      synonym </w:t>
      </w:r>
      <w:r w:rsidRPr="00AB3EFD">
        <w:rPr>
          <w:i/>
          <w:sz w:val="20"/>
        </w:rPr>
        <w:t>Vaccinium atrococcum</w:t>
      </w:r>
      <w:r w:rsidRPr="00AB3EFD">
        <w:rPr>
          <w:sz w:val="20"/>
        </w:rPr>
        <w:t xml:space="preserve"> (Gray) Heller</w:t>
      </w:r>
    </w:p>
    <w:p w:rsidR="00AB3EFD" w:rsidRPr="00AB3EFD" w:rsidRDefault="00AB3EFD" w:rsidP="00AB3EFD">
      <w:pPr>
        <w:jc w:val="left"/>
        <w:rPr>
          <w:sz w:val="20"/>
        </w:rPr>
      </w:pPr>
      <w:r w:rsidRPr="00AB3EFD">
        <w:rPr>
          <w:sz w:val="20"/>
        </w:rPr>
        <w:t xml:space="preserve">      synonym </w:t>
      </w:r>
      <w:r w:rsidRPr="00AB3EFD">
        <w:rPr>
          <w:i/>
          <w:sz w:val="20"/>
        </w:rPr>
        <w:t>Vaccinium fuscatum</w:t>
      </w:r>
      <w:r w:rsidRPr="00AB3EFD">
        <w:rPr>
          <w:sz w:val="20"/>
        </w:rPr>
        <w:t xml:space="preserve"> Aiton</w:t>
      </w:r>
    </w:p>
    <w:p w:rsidR="00AB3EFD" w:rsidRPr="00AB3EFD" w:rsidRDefault="00AB3EFD" w:rsidP="00AB3EFD">
      <w:pPr>
        <w:jc w:val="left"/>
        <w:rPr>
          <w:sz w:val="20"/>
        </w:rPr>
      </w:pPr>
      <w:r w:rsidRPr="00AB3EFD">
        <w:rPr>
          <w:i/>
          <w:sz w:val="20"/>
        </w:rPr>
        <w:t>*Vaccinium simulatum</w:t>
      </w:r>
      <w:r w:rsidRPr="00AB3EFD">
        <w:rPr>
          <w:sz w:val="20"/>
        </w:rPr>
        <w:t xml:space="preserve"> Small</w:t>
      </w:r>
    </w:p>
    <w:p w:rsidR="00AB3EFD" w:rsidRPr="00AB3EFD" w:rsidRDefault="00AB3EFD" w:rsidP="00AB3EFD">
      <w:pPr>
        <w:jc w:val="left"/>
        <w:rPr>
          <w:sz w:val="20"/>
        </w:rPr>
      </w:pPr>
      <w:r w:rsidRPr="00AB3EFD">
        <w:rPr>
          <w:i/>
          <w:sz w:val="20"/>
        </w:rPr>
        <w:t>*Vaccinium virgatum</w:t>
      </w:r>
      <w:r w:rsidRPr="00AB3EFD">
        <w:rPr>
          <w:sz w:val="20"/>
        </w:rPr>
        <w:t xml:space="preserve"> Ait.</w:t>
      </w:r>
    </w:p>
    <w:p w:rsidR="00AB3EFD" w:rsidRPr="00AB3EFD" w:rsidRDefault="00AB3EFD" w:rsidP="00AB3EFD">
      <w:pPr>
        <w:jc w:val="left"/>
        <w:rPr>
          <w:sz w:val="20"/>
        </w:rPr>
      </w:pPr>
      <w:r w:rsidRPr="00AB3EFD">
        <w:rPr>
          <w:sz w:val="20"/>
        </w:rPr>
        <w:t xml:space="preserve">      synonym: </w:t>
      </w:r>
      <w:r w:rsidRPr="00AB3EFD">
        <w:rPr>
          <w:i/>
          <w:sz w:val="20"/>
        </w:rPr>
        <w:t>Vaccinium amoenum</w:t>
      </w:r>
      <w:r w:rsidRPr="00AB3EFD">
        <w:rPr>
          <w:sz w:val="20"/>
        </w:rPr>
        <w:t xml:space="preserve"> Aiton</w:t>
      </w:r>
    </w:p>
    <w:p w:rsidR="00AB3EFD" w:rsidRPr="00AB3EFD" w:rsidRDefault="00AB3EFD" w:rsidP="00AB3EFD">
      <w:pPr>
        <w:jc w:val="left"/>
        <w:rPr>
          <w:sz w:val="20"/>
        </w:rPr>
      </w:pPr>
      <w:r w:rsidRPr="00AB3EFD">
        <w:rPr>
          <w:sz w:val="20"/>
        </w:rPr>
        <w:t xml:space="preserve">      synonym: </w:t>
      </w:r>
      <w:r w:rsidRPr="00AB3EFD">
        <w:rPr>
          <w:i/>
          <w:sz w:val="20"/>
        </w:rPr>
        <w:t>Vaccinium ashei</w:t>
      </w:r>
      <w:r w:rsidRPr="00AB3EFD">
        <w:rPr>
          <w:sz w:val="20"/>
        </w:rPr>
        <w:t xml:space="preserve"> Reade</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lastRenderedPageBreak/>
        <w:t>Highbush blueberry (</w:t>
      </w:r>
      <w:r w:rsidRPr="00AB3EFD">
        <w:rPr>
          <w:i/>
          <w:sz w:val="20"/>
        </w:rPr>
        <w:t>V. corymbosum</w:t>
      </w:r>
      <w:r w:rsidRPr="00AB3EFD">
        <w:rPr>
          <w:b/>
          <w:sz w:val="20"/>
        </w:rPr>
        <w:t xml:space="preserve">) </w:t>
      </w:r>
      <w:r w:rsidRPr="00AB3EFD">
        <w:rPr>
          <w:sz w:val="20"/>
        </w:rPr>
        <w:t>hybridizes with one of the “lowbush” blueberries (</w:t>
      </w:r>
      <w:r w:rsidRPr="00AB3EFD">
        <w:rPr>
          <w:i/>
          <w:sz w:val="20"/>
        </w:rPr>
        <w:t>V. angustifolium</w:t>
      </w:r>
      <w:r w:rsidRPr="00AB3EFD">
        <w:rPr>
          <w:sz w:val="20"/>
        </w:rPr>
        <w:t xml:space="preserve"> Ait.).  Hybrids used in commercial fruit production are </w:t>
      </w:r>
      <w:r w:rsidRPr="00AB3EFD">
        <w:rPr>
          <w:i/>
          <w:sz w:val="20"/>
        </w:rPr>
        <w:t>V. corymbosum</w:t>
      </w:r>
      <w:r w:rsidRPr="00AB3EFD">
        <w:rPr>
          <w:sz w:val="20"/>
        </w:rPr>
        <w:t xml:space="preserve"> X </w:t>
      </w:r>
      <w:r w:rsidRPr="00AB3EFD">
        <w:rPr>
          <w:i/>
          <w:sz w:val="20"/>
        </w:rPr>
        <w:t>V. darrowi</w:t>
      </w:r>
      <w:r w:rsidRPr="00AB3EFD">
        <w:rPr>
          <w:sz w:val="20"/>
        </w:rPr>
        <w:t xml:space="preserve"> (southern highbush blueberry), (</w:t>
      </w:r>
      <w:r w:rsidRPr="00AB3EFD">
        <w:rPr>
          <w:i/>
          <w:sz w:val="20"/>
        </w:rPr>
        <w:t>V. arboreum</w:t>
      </w:r>
      <w:r w:rsidRPr="00AB3EFD">
        <w:rPr>
          <w:sz w:val="20"/>
        </w:rPr>
        <w:t xml:space="preserve"> X </w:t>
      </w:r>
      <w:r w:rsidRPr="00AB3EFD">
        <w:rPr>
          <w:i/>
          <w:sz w:val="20"/>
        </w:rPr>
        <w:t>V. darrowi</w:t>
      </w:r>
      <w:r w:rsidRPr="00AB3EFD">
        <w:rPr>
          <w:sz w:val="20"/>
        </w:rPr>
        <w:t xml:space="preserve">) x </w:t>
      </w:r>
      <w:r w:rsidRPr="00AB3EFD">
        <w:rPr>
          <w:i/>
          <w:sz w:val="20"/>
        </w:rPr>
        <w:t>V. corymbosum</w:t>
      </w:r>
      <w:r w:rsidRPr="00AB3EFD">
        <w:rPr>
          <w:sz w:val="20"/>
        </w:rPr>
        <w:t xml:space="preserve"> (pollen donor), and southern highbush blueberry hybrids X </w:t>
      </w:r>
      <w:r w:rsidRPr="00AB3EFD">
        <w:rPr>
          <w:i/>
          <w:sz w:val="20"/>
        </w:rPr>
        <w:t>V. simulatum</w:t>
      </w:r>
      <w:r w:rsidRPr="00AB3EFD">
        <w:rPr>
          <w:sz w:val="20"/>
        </w:rPr>
        <w:t xml:space="preserve">.  </w:t>
      </w:r>
    </w:p>
    <w:p w:rsidR="00AB3EFD" w:rsidRPr="00AB3EFD" w:rsidRDefault="00AB3EFD" w:rsidP="00AB3EFD">
      <w:pPr>
        <w:jc w:val="left"/>
        <w:rPr>
          <w:sz w:val="20"/>
        </w:rPr>
      </w:pPr>
    </w:p>
    <w:p w:rsidR="00AB3EFD" w:rsidRPr="00AB3EFD" w:rsidRDefault="00AB3EFD" w:rsidP="00AB3EFD">
      <w:pPr>
        <w:jc w:val="left"/>
        <w:rPr>
          <w:sz w:val="20"/>
        </w:rPr>
      </w:pPr>
      <w:r w:rsidRPr="00AB3EFD">
        <w:rPr>
          <w:i/>
          <w:sz w:val="20"/>
        </w:rPr>
        <w:t>Distribution</w:t>
      </w:r>
      <w:r w:rsidRPr="00AB3EFD">
        <w:rPr>
          <w:sz w:val="20"/>
        </w:rPr>
        <w:t xml:space="preserve">: Widespread in eastern North America, from </w:t>
      </w:r>
      <w:smartTag w:uri="urn:schemas-microsoft-com:office:smarttags" w:element="State">
        <w:r w:rsidRPr="00AB3EFD">
          <w:rPr>
            <w:sz w:val="20"/>
          </w:rPr>
          <w:t>Nova Scotia</w:t>
        </w:r>
      </w:smartTag>
      <w:r w:rsidRPr="00AB3EFD">
        <w:rPr>
          <w:sz w:val="20"/>
        </w:rPr>
        <w:t xml:space="preserve">, </w:t>
      </w:r>
      <w:smartTag w:uri="urn:schemas-microsoft-com:office:smarttags" w:element="City">
        <w:r w:rsidRPr="00AB3EFD">
          <w:rPr>
            <w:sz w:val="20"/>
          </w:rPr>
          <w:t>New Brunswick</w:t>
        </w:r>
      </w:smartTag>
      <w:r w:rsidRPr="00AB3EFD">
        <w:rPr>
          <w:sz w:val="20"/>
        </w:rPr>
        <w:t xml:space="preserve">, </w:t>
      </w:r>
      <w:smartTag w:uri="urn:schemas-microsoft-com:office:smarttags" w:element="State">
        <w:r w:rsidRPr="00AB3EFD">
          <w:rPr>
            <w:sz w:val="20"/>
          </w:rPr>
          <w:t>Quebec</w:t>
        </w:r>
      </w:smartTag>
      <w:r w:rsidRPr="00AB3EFD">
        <w:rPr>
          <w:sz w:val="20"/>
        </w:rPr>
        <w:t xml:space="preserve">, and </w:t>
      </w:r>
      <w:smartTag w:uri="urn:schemas-microsoft-com:office:smarttags" w:element="City">
        <w:r w:rsidRPr="00AB3EFD">
          <w:rPr>
            <w:sz w:val="20"/>
          </w:rPr>
          <w:t>Ontario</w:t>
        </w:r>
      </w:smartTag>
      <w:r w:rsidRPr="00AB3EFD">
        <w:rPr>
          <w:sz w:val="20"/>
        </w:rPr>
        <w:t xml:space="preserve">, </w:t>
      </w:r>
      <w:smartTag w:uri="urn:schemas-microsoft-com:office:smarttags" w:element="State">
        <w:r w:rsidRPr="00AB3EFD">
          <w:rPr>
            <w:sz w:val="20"/>
          </w:rPr>
          <w:t>Maine</w:t>
        </w:r>
      </w:smartTag>
      <w:r w:rsidRPr="00AB3EFD">
        <w:rPr>
          <w:sz w:val="20"/>
        </w:rPr>
        <w:t xml:space="preserve"> to </w:t>
      </w:r>
      <w:smartTag w:uri="urn:schemas-microsoft-com:office:smarttags" w:element="State">
        <w:r w:rsidRPr="00AB3EFD">
          <w:rPr>
            <w:sz w:val="20"/>
          </w:rPr>
          <w:t>Wisconsin</w:t>
        </w:r>
      </w:smartTag>
      <w:r w:rsidRPr="00AB3EFD">
        <w:rPr>
          <w:sz w:val="20"/>
        </w:rPr>
        <w:t xml:space="preserve">, southward to </w:t>
      </w:r>
      <w:smartTag w:uri="urn:schemas-microsoft-com:office:smarttags" w:element="State">
        <w:r w:rsidRPr="00AB3EFD">
          <w:rPr>
            <w:sz w:val="20"/>
          </w:rPr>
          <w:t>South Carolina</w:t>
        </w:r>
      </w:smartTag>
      <w:r w:rsidRPr="00AB3EFD">
        <w:rPr>
          <w:sz w:val="20"/>
        </w:rPr>
        <w:t xml:space="preserve"> and </w:t>
      </w:r>
      <w:smartTag w:uri="urn:schemas-microsoft-com:office:smarttags" w:element="country-region">
        <w:r w:rsidRPr="00AB3EFD">
          <w:rPr>
            <w:sz w:val="20"/>
          </w:rPr>
          <w:t>Georgia</w:t>
        </w:r>
      </w:smartTag>
      <w:r w:rsidRPr="00AB3EFD">
        <w:rPr>
          <w:sz w:val="20"/>
        </w:rPr>
        <w:t xml:space="preserve"> and along the Gulf coast to </w:t>
      </w:r>
      <w:smartTag w:uri="urn:schemas-microsoft-com:office:smarttags" w:element="State">
        <w:r w:rsidRPr="00AB3EFD">
          <w:rPr>
            <w:sz w:val="20"/>
          </w:rPr>
          <w:t>Arkansas</w:t>
        </w:r>
      </w:smartTag>
      <w:r w:rsidRPr="00AB3EFD">
        <w:rPr>
          <w:sz w:val="20"/>
        </w:rPr>
        <w:t xml:space="preserve">, </w:t>
      </w:r>
      <w:smartTag w:uri="urn:schemas-microsoft-com:office:smarttags" w:element="State">
        <w:r w:rsidRPr="00AB3EFD">
          <w:rPr>
            <w:sz w:val="20"/>
          </w:rPr>
          <w:t>Louisiana</w:t>
        </w:r>
      </w:smartTag>
      <w:r w:rsidRPr="00AB3EFD">
        <w:rPr>
          <w:sz w:val="20"/>
        </w:rPr>
        <w:t xml:space="preserve">, east </w:t>
      </w:r>
      <w:smartTag w:uri="urn:schemas-microsoft-com:office:smarttags" w:element="State">
        <w:r w:rsidRPr="00AB3EFD">
          <w:rPr>
            <w:sz w:val="20"/>
          </w:rPr>
          <w:t>Texas</w:t>
        </w:r>
      </w:smartTag>
      <w:r w:rsidRPr="00AB3EFD">
        <w:rPr>
          <w:sz w:val="20"/>
        </w:rPr>
        <w:t xml:space="preserve">, and </w:t>
      </w:r>
      <w:smartTag w:uri="urn:schemas-microsoft-com:office:smarttags" w:element="State">
        <w:smartTag w:uri="urn:schemas-microsoft-com:office:smarttags" w:element="place">
          <w:r w:rsidRPr="00AB3EFD">
            <w:rPr>
              <w:sz w:val="20"/>
            </w:rPr>
            <w:t>Oklahoma</w:t>
          </w:r>
        </w:smartTag>
      </w:smartTag>
      <w:r w:rsidRPr="00AB3EFD">
        <w:rPr>
          <w:sz w:val="20"/>
        </w:rPr>
        <w:t xml:space="preserve">.  It has been introduced outside of its natural range for commercial berry production in </w:t>
      </w:r>
      <w:smartTag w:uri="urn:schemas-microsoft-com:office:smarttags" w:element="State">
        <w:r w:rsidRPr="00AB3EFD">
          <w:rPr>
            <w:sz w:val="20"/>
          </w:rPr>
          <w:t>Wisconsin</w:t>
        </w:r>
      </w:smartTag>
      <w:r w:rsidRPr="00AB3EFD">
        <w:rPr>
          <w:sz w:val="20"/>
        </w:rPr>
        <w:t xml:space="preserve">, </w:t>
      </w:r>
      <w:smartTag w:uri="urn:schemas-microsoft-com:office:smarttags" w:element="City">
        <w:r w:rsidRPr="00AB3EFD">
          <w:rPr>
            <w:sz w:val="20"/>
          </w:rPr>
          <w:t>Washington</w:t>
        </w:r>
      </w:smartTag>
      <w:r w:rsidRPr="00AB3EFD">
        <w:rPr>
          <w:sz w:val="20"/>
        </w:rPr>
        <w:t xml:space="preserve">, </w:t>
      </w:r>
      <w:smartTag w:uri="urn:schemas-microsoft-com:office:smarttags" w:element="State">
        <w:r w:rsidRPr="00AB3EFD">
          <w:rPr>
            <w:sz w:val="20"/>
          </w:rPr>
          <w:t>British Columbia</w:t>
        </w:r>
      </w:smartTag>
      <w:r w:rsidRPr="00AB3EFD">
        <w:rPr>
          <w:sz w:val="20"/>
        </w:rPr>
        <w:t xml:space="preserve">, and </w:t>
      </w:r>
      <w:smartTag w:uri="urn:schemas-microsoft-com:office:smarttags" w:element="State">
        <w:smartTag w:uri="urn:schemas-microsoft-com:office:smarttags" w:element="place">
          <w:r w:rsidRPr="00AB3EFD">
            <w:rPr>
              <w:sz w:val="20"/>
            </w:rPr>
            <w:t>New Brunswick</w:t>
          </w:r>
        </w:smartTag>
      </w:smartTag>
      <w:r w:rsidRPr="00AB3EFD">
        <w:rPr>
          <w:sz w:val="20"/>
        </w:rPr>
        <w:t xml:space="preserve">.  For current distribution, please consult the Plant Profile page for this species on the PLANTS Web site.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Adaptation</w:t>
      </w:r>
    </w:p>
    <w:p w:rsidR="00AB3EFD" w:rsidRPr="00AB3EFD" w:rsidRDefault="00AB3EFD" w:rsidP="00AB3EFD">
      <w:pPr>
        <w:jc w:val="left"/>
        <w:rPr>
          <w:sz w:val="20"/>
        </w:rPr>
      </w:pPr>
      <w:r w:rsidRPr="00AB3EFD">
        <w:rPr>
          <w:sz w:val="20"/>
        </w:rPr>
        <w:t xml:space="preserve">Highbush blueberry grows best and most commonly in moist or wet peat of moderate to high acidity – in and around marshes, swamps, and lakes, often with extended flooding, as well as on floodplains, sheltered slopes, and ravines.  It also occurs in drier areas – dunes and barrier beaches, rocky hillsides, oak woods, and pine woods.  It occurs as a dominant or co-dominant on Appalachian "heath balds."  All of these are more or less open sites, and because of its shade intolerance, highbush blueberry can be eliminated as shading increases with overstory cover.  Flowering (February-)March-June, sporadically in the southern portion of its range; fruiting (April-)May-October, about 62 days after flowering.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Establishment</w:t>
      </w:r>
    </w:p>
    <w:p w:rsidR="00AB3EFD" w:rsidRPr="00AB3EFD" w:rsidRDefault="00AB3EFD" w:rsidP="00AB3EFD">
      <w:pPr>
        <w:jc w:val="left"/>
        <w:rPr>
          <w:sz w:val="20"/>
        </w:rPr>
      </w:pPr>
      <w:r w:rsidRPr="00AB3EFD">
        <w:rPr>
          <w:sz w:val="20"/>
        </w:rPr>
        <w:t xml:space="preserve">Highbush blueberry produces abundant fruit every year.  Bees are the primary pollinator.  The seeds may be widely dispersed in bird and mammal droppings, but germination success can be reduced up to 15% after passing through an animal gut.  In the southern portion of its range, highbush blueberry seeds have thick seed coats and require cold stratification before germination.  Those from northern regions produce thinner seed coats and germinate in the autumn after dispersal.  </w:t>
      </w:r>
    </w:p>
    <w:p w:rsidR="00AB3EFD" w:rsidRPr="00AB3EFD" w:rsidRDefault="00AB3EFD" w:rsidP="00AB3EFD">
      <w:pPr>
        <w:jc w:val="left"/>
        <w:rPr>
          <w:sz w:val="20"/>
        </w:rPr>
      </w:pPr>
      <w:r w:rsidRPr="00AB3EFD">
        <w:rPr>
          <w:sz w:val="20"/>
        </w:rPr>
        <w:t xml:space="preserve"> </w:t>
      </w:r>
    </w:p>
    <w:p w:rsidR="00AB3EFD" w:rsidRPr="00AB3EFD" w:rsidRDefault="00AB3EFD" w:rsidP="00AB3EFD">
      <w:pPr>
        <w:jc w:val="left"/>
        <w:rPr>
          <w:sz w:val="20"/>
        </w:rPr>
      </w:pPr>
      <w:r w:rsidRPr="00AB3EFD">
        <w:rPr>
          <w:sz w:val="20"/>
        </w:rPr>
        <w:t xml:space="preserve">Some reports describe vigorous sprouting from the root-crown in highbush blueberry after top-kill by fire or disturbance, while others note that sprouting is uncommon.  This perhaps reflects the variability (and perhaps the taxonomic uncertainty) that exists within the species complex.  Plants also have been noted to occasionally produce root sprouts 1-2 meters away from the parent.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Management</w:t>
      </w:r>
    </w:p>
    <w:p w:rsidR="00AB3EFD" w:rsidRPr="00AB3EFD" w:rsidRDefault="00AB3EFD" w:rsidP="00AB3EFD">
      <w:pPr>
        <w:jc w:val="left"/>
        <w:rPr>
          <w:sz w:val="20"/>
        </w:rPr>
      </w:pPr>
      <w:r w:rsidRPr="00AB3EFD">
        <w:rPr>
          <w:sz w:val="20"/>
        </w:rPr>
        <w:t>Seeds or cuttings can propagate plants of highbush blueberry.  Ideal soil for cultivation is moist, high in organic matter, highly acidic (4.5-5.5), and well drained.  The plants grow in full sun to partial shade, but those in open sites produce more flowers and have brighter fall foliage color.  Highbush blueberry (</w:t>
      </w:r>
      <w:r w:rsidRPr="00AB3EFD">
        <w:rPr>
          <w:i/>
          <w:sz w:val="20"/>
        </w:rPr>
        <w:t>V. corymbosum</w:t>
      </w:r>
      <w:r w:rsidRPr="00AB3EFD">
        <w:rPr>
          <w:sz w:val="20"/>
        </w:rPr>
        <w:t xml:space="preserve">) is self-fertile, but cross-pollination increases fruit set and results in larger, earlier berries with more seeds (see Agriculture Western Australia 2000).  Other species of the complex are partially or completely self-incompatible.  </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Cultivars, Improved and Selected Materials (and area of origin)</w:t>
      </w:r>
    </w:p>
    <w:p w:rsidR="00AB3EFD" w:rsidRPr="00AB3EFD" w:rsidRDefault="00AB3EFD" w:rsidP="00AB3EFD">
      <w:pPr>
        <w:jc w:val="left"/>
        <w:rPr>
          <w:sz w:val="20"/>
        </w:rPr>
      </w:pPr>
      <w:r w:rsidRPr="00AB3EFD">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B3EFD" w:rsidRPr="00AB3EFD" w:rsidRDefault="00AB3EFD" w:rsidP="00AB3EFD">
      <w:pPr>
        <w:jc w:val="left"/>
        <w:rPr>
          <w:sz w:val="20"/>
        </w:rPr>
      </w:pPr>
    </w:p>
    <w:p w:rsidR="00AB3EFD" w:rsidRPr="00AB3EFD" w:rsidRDefault="00AB3EFD" w:rsidP="00AB3EFD">
      <w:pPr>
        <w:pStyle w:val="Heading2"/>
        <w:jc w:val="left"/>
        <w:rPr>
          <w:color w:val="auto"/>
          <w:sz w:val="20"/>
        </w:rPr>
      </w:pPr>
      <w:r w:rsidRPr="00AB3EFD">
        <w:rPr>
          <w:color w:val="auto"/>
          <w:sz w:val="20"/>
        </w:rPr>
        <w:t>References</w:t>
      </w:r>
    </w:p>
    <w:p w:rsidR="00AB3EFD" w:rsidRPr="00AB3EFD" w:rsidRDefault="00AB3EFD" w:rsidP="00AB3EFD">
      <w:pPr>
        <w:jc w:val="left"/>
        <w:rPr>
          <w:sz w:val="20"/>
        </w:rPr>
      </w:pPr>
      <w:r w:rsidRPr="00AB3EFD">
        <w:rPr>
          <w:sz w:val="20"/>
        </w:rPr>
        <w:t xml:space="preserve">Agriculture Western Australia 2000.  </w:t>
      </w:r>
      <w:r w:rsidRPr="00AB3EFD">
        <w:rPr>
          <w:i/>
          <w:sz w:val="20"/>
        </w:rPr>
        <w:t>Bee pollination benefits for blueberry crops</w:t>
      </w:r>
      <w:r w:rsidRPr="00AB3EFD">
        <w:rPr>
          <w:sz w:val="20"/>
        </w:rPr>
        <w:t xml:space="preserve">.  Web site.  </w:t>
      </w:r>
    </w:p>
    <w:p w:rsidR="00AB3EFD" w:rsidRPr="00AB3EFD" w:rsidRDefault="00AB3EFD" w:rsidP="00AB3EFD">
      <w:pPr>
        <w:jc w:val="left"/>
        <w:rPr>
          <w:sz w:val="20"/>
        </w:rPr>
      </w:pPr>
      <w:r w:rsidRPr="00AB3EFD">
        <w:rPr>
          <w:sz w:val="20"/>
        </w:rPr>
        <w:t xml:space="preserve">&lt;http://www.agric.wa.gov.au/programs/dairy/apiculture/blueberry.htm#ref10&gt;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Camp, W.H. 1945.  </w:t>
      </w:r>
      <w:r w:rsidRPr="00AB3EFD">
        <w:rPr>
          <w:i/>
          <w:sz w:val="20"/>
        </w:rPr>
        <w:t>The North American blueberries with notes on other groups of Vacciniaceae</w:t>
      </w:r>
      <w:r w:rsidRPr="00AB3EFD">
        <w:rPr>
          <w:sz w:val="20"/>
        </w:rPr>
        <w:t xml:space="preserve">.  Brittonia 5:203-275.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Garrison, N.  1998.  </w:t>
      </w:r>
      <w:r w:rsidRPr="00AB3EFD">
        <w:rPr>
          <w:i/>
          <w:sz w:val="20"/>
        </w:rPr>
        <w:t>Descriptions of blueberry varieties in trial conducted by Nancy Garrison</w:t>
      </w:r>
      <w:r w:rsidRPr="00AB3EFD">
        <w:rPr>
          <w:sz w:val="20"/>
        </w:rPr>
        <w:t xml:space="preserve">.  Master Gardeners of </w:t>
      </w:r>
      <w:smartTag w:uri="urn:schemas-microsoft-com:office:smarttags" w:element="place">
        <w:smartTag w:uri="urn:schemas-microsoft-com:office:smarttags" w:element="PlaceName">
          <w:r w:rsidRPr="00AB3EFD">
            <w:rPr>
              <w:sz w:val="20"/>
            </w:rPr>
            <w:t>Santa Clara</w:t>
          </w:r>
        </w:smartTag>
        <w:r w:rsidRPr="00AB3EFD">
          <w:rPr>
            <w:sz w:val="20"/>
          </w:rPr>
          <w:t xml:space="preserve"> </w:t>
        </w:r>
        <w:smartTag w:uri="urn:schemas-microsoft-com:office:smarttags" w:element="PlaceType">
          <w:r w:rsidRPr="00AB3EFD">
            <w:rPr>
              <w:sz w:val="20"/>
            </w:rPr>
            <w:t>County</w:t>
          </w:r>
        </w:smartTag>
      </w:smartTag>
      <w:r w:rsidRPr="00AB3EFD">
        <w:rPr>
          <w:sz w:val="20"/>
        </w:rPr>
        <w:t xml:space="preserve"> Online.  </w:t>
      </w:r>
      <w:smartTag w:uri="urn:schemas-microsoft-com:office:smarttags" w:element="place">
        <w:smartTag w:uri="urn:schemas-microsoft-com:office:smarttags" w:element="PlaceType">
          <w:r w:rsidRPr="00AB3EFD">
            <w:rPr>
              <w:sz w:val="20"/>
            </w:rPr>
            <w:t>Univ.</w:t>
          </w:r>
        </w:smartTag>
        <w:r w:rsidRPr="00AB3EFD">
          <w:rPr>
            <w:sz w:val="20"/>
          </w:rPr>
          <w:t xml:space="preserve"> of </w:t>
        </w:r>
        <w:smartTag w:uri="urn:schemas-microsoft-com:office:smarttags" w:element="PlaceName">
          <w:r w:rsidRPr="00AB3EFD">
            <w:rPr>
              <w:sz w:val="20"/>
            </w:rPr>
            <w:t>California</w:t>
          </w:r>
        </w:smartTag>
      </w:smartTag>
      <w:r w:rsidRPr="00AB3EFD">
        <w:rPr>
          <w:sz w:val="20"/>
        </w:rPr>
        <w:t xml:space="preserve"> Cooperative Extension, Urban Horticulture Program.  &lt;http://www.mastergardeners.org/recommend/bluevar.html&gt;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Reiger, M.  2000.  </w:t>
      </w:r>
      <w:r w:rsidRPr="00AB3EFD">
        <w:rPr>
          <w:i/>
          <w:sz w:val="20"/>
        </w:rPr>
        <w:t>Mark’s fruit crops</w:t>
      </w:r>
      <w:r w:rsidRPr="00AB3EFD">
        <w:rPr>
          <w:sz w:val="20"/>
        </w:rPr>
        <w:t xml:space="preserve">.  </w:t>
      </w:r>
      <w:smartTag w:uri="urn:schemas-microsoft-com:office:smarttags" w:element="place">
        <w:smartTag w:uri="urn:schemas-microsoft-com:office:smarttags" w:element="PlaceType">
          <w:r w:rsidRPr="00AB3EFD">
            <w:rPr>
              <w:sz w:val="20"/>
            </w:rPr>
            <w:t>Univ.</w:t>
          </w:r>
        </w:smartTag>
        <w:r w:rsidRPr="00AB3EFD">
          <w:rPr>
            <w:sz w:val="20"/>
          </w:rPr>
          <w:t xml:space="preserve"> of </w:t>
        </w:r>
        <w:smartTag w:uri="urn:schemas-microsoft-com:office:smarttags" w:element="PlaceName">
          <w:r w:rsidRPr="00AB3EFD">
            <w:rPr>
              <w:sz w:val="20"/>
            </w:rPr>
            <w:t>Georgia</w:t>
          </w:r>
        </w:smartTag>
      </w:smartTag>
      <w:r w:rsidRPr="00AB3EFD">
        <w:rPr>
          <w:sz w:val="20"/>
        </w:rPr>
        <w:t xml:space="preserve">, Dept. of Horticulture.  Web site.  &lt;http://www.uga.edu/hortcrop/rieger/index.html&gt;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Uchytil, R.J. 1993.  </w:t>
      </w:r>
      <w:r w:rsidRPr="00AB3EFD">
        <w:rPr>
          <w:i/>
          <w:sz w:val="20"/>
        </w:rPr>
        <w:t>Vaccinium corymbosum</w:t>
      </w:r>
      <w:r w:rsidRPr="00AB3EFD">
        <w:rPr>
          <w:sz w:val="20"/>
        </w:rPr>
        <w:t xml:space="preserve">.  IN: W.C. Fischer (compiler).  </w:t>
      </w:r>
      <w:r w:rsidRPr="00AB3EFD">
        <w:rPr>
          <w:i/>
          <w:sz w:val="20"/>
        </w:rPr>
        <w:t>The fire effects information system</w:t>
      </w:r>
      <w:r w:rsidRPr="00AB3EFD">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AB3EFD">
            <w:rPr>
              <w:sz w:val="20"/>
            </w:rPr>
            <w:t>Missoula</w:t>
          </w:r>
        </w:smartTag>
        <w:r w:rsidRPr="00AB3EFD">
          <w:rPr>
            <w:sz w:val="20"/>
          </w:rPr>
          <w:t xml:space="preserve">, </w:t>
        </w:r>
        <w:smartTag w:uri="urn:schemas-microsoft-com:office:smarttags" w:element="State">
          <w:r w:rsidRPr="00AB3EFD">
            <w:rPr>
              <w:sz w:val="20"/>
            </w:rPr>
            <w:t>Montana</w:t>
          </w:r>
        </w:smartTag>
      </w:smartTag>
      <w:r w:rsidRPr="00AB3EFD">
        <w:rPr>
          <w:sz w:val="20"/>
        </w:rPr>
        <w:t>.  &lt;http://www.fs.fed.us/database/feis/&gt;</w:t>
      </w:r>
    </w:p>
    <w:p w:rsidR="00AB3EFD" w:rsidRPr="00AB3EFD" w:rsidRDefault="00AB3EFD" w:rsidP="00AB3EFD">
      <w:pPr>
        <w:jc w:val="left"/>
        <w:rPr>
          <w:sz w:val="20"/>
        </w:rPr>
      </w:pPr>
      <w:r w:rsidRPr="00AB3EFD">
        <w:rPr>
          <w:sz w:val="20"/>
        </w:rPr>
        <w:t xml:space="preserve"> </w:t>
      </w:r>
    </w:p>
    <w:p w:rsidR="00AB3EFD" w:rsidRPr="00AB3EFD" w:rsidRDefault="00AB3EFD" w:rsidP="00AB3EFD">
      <w:pPr>
        <w:jc w:val="left"/>
        <w:rPr>
          <w:sz w:val="20"/>
        </w:rPr>
      </w:pPr>
      <w:r w:rsidRPr="00AB3EFD">
        <w:rPr>
          <w:sz w:val="20"/>
        </w:rPr>
        <w:t xml:space="preserve">Uttal, L.J. 1986.  </w:t>
      </w:r>
      <w:r w:rsidRPr="00AB3EFD">
        <w:rPr>
          <w:i/>
          <w:sz w:val="20"/>
        </w:rPr>
        <w:t xml:space="preserve">Updating the genus Vaccinium (Ericaceae) in </w:t>
      </w:r>
      <w:smartTag w:uri="urn:schemas-microsoft-com:office:smarttags" w:element="place">
        <w:smartTag w:uri="urn:schemas-microsoft-com:office:smarttags" w:element="State">
          <w:r w:rsidRPr="00AB3EFD">
            <w:rPr>
              <w:i/>
              <w:sz w:val="20"/>
            </w:rPr>
            <w:t>West Virginia</w:t>
          </w:r>
        </w:smartTag>
      </w:smartTag>
      <w:r w:rsidRPr="00AB3EFD">
        <w:rPr>
          <w:sz w:val="20"/>
        </w:rPr>
        <w:t xml:space="preserve">.  Castanea 51:197-201.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Uttal, L.J. 1987.  </w:t>
      </w:r>
      <w:r w:rsidRPr="00AB3EFD">
        <w:rPr>
          <w:i/>
          <w:sz w:val="20"/>
        </w:rPr>
        <w:t xml:space="preserve">The genus Vaccinium L. (Ericaceae) in </w:t>
      </w:r>
      <w:smartTag w:uri="urn:schemas-microsoft-com:office:smarttags" w:element="place">
        <w:smartTag w:uri="urn:schemas-microsoft-com:office:smarttags" w:element="State">
          <w:r w:rsidRPr="00AB3EFD">
            <w:rPr>
              <w:i/>
              <w:sz w:val="20"/>
            </w:rPr>
            <w:t>Virginia</w:t>
          </w:r>
        </w:smartTag>
      </w:smartTag>
      <w:r w:rsidRPr="00AB3EFD">
        <w:rPr>
          <w:sz w:val="20"/>
        </w:rPr>
        <w:t xml:space="preserve">.  Castanea 52:231-255.  </w:t>
      </w:r>
    </w:p>
    <w:p w:rsidR="00AB3EFD" w:rsidRPr="00AB3EFD" w:rsidRDefault="00AB3EFD" w:rsidP="00AB3EFD">
      <w:pPr>
        <w:jc w:val="left"/>
        <w:rPr>
          <w:sz w:val="20"/>
        </w:rPr>
      </w:pPr>
    </w:p>
    <w:p w:rsidR="00AB3EFD" w:rsidRPr="00AB3EFD" w:rsidRDefault="00AB3EFD" w:rsidP="00AB3EFD">
      <w:pPr>
        <w:jc w:val="left"/>
        <w:rPr>
          <w:sz w:val="20"/>
        </w:rPr>
      </w:pPr>
      <w:r w:rsidRPr="00AB3EFD">
        <w:rPr>
          <w:sz w:val="20"/>
        </w:rPr>
        <w:t xml:space="preserve">Vander Kloet, S.P. 1980.  </w:t>
      </w:r>
      <w:r w:rsidRPr="00AB3EFD">
        <w:rPr>
          <w:i/>
          <w:sz w:val="20"/>
        </w:rPr>
        <w:t>The taxonomy of the highbush blueberry, Vaccinium corymbosum</w:t>
      </w:r>
      <w:r w:rsidRPr="00AB3EFD">
        <w:rPr>
          <w:sz w:val="20"/>
        </w:rPr>
        <w:t xml:space="preserve">.  Canad. J. Bot. 58:1187-1201.  </w:t>
      </w:r>
    </w:p>
    <w:p w:rsidR="00AB3EFD" w:rsidRPr="00AB3EFD" w:rsidRDefault="00AB3EFD" w:rsidP="00AB3EFD">
      <w:pPr>
        <w:jc w:val="left"/>
        <w:rPr>
          <w:sz w:val="20"/>
        </w:rPr>
      </w:pPr>
    </w:p>
    <w:p w:rsidR="00AB3EFD" w:rsidRPr="00AB3EFD" w:rsidRDefault="00AB3EFD" w:rsidP="00AB3EFD">
      <w:pPr>
        <w:tabs>
          <w:tab w:val="left" w:pos="720"/>
          <w:tab w:val="left" w:pos="1170"/>
          <w:tab w:val="right" w:leader="dot" w:pos="9360"/>
        </w:tabs>
        <w:jc w:val="left"/>
        <w:rPr>
          <w:sz w:val="20"/>
        </w:rPr>
      </w:pPr>
      <w:r w:rsidRPr="00AB3EFD">
        <w:rPr>
          <w:sz w:val="20"/>
        </w:rPr>
        <w:t xml:space="preserve">Vander Kloet, S.P. 1988.  </w:t>
      </w:r>
      <w:r w:rsidRPr="00AB3EFD">
        <w:rPr>
          <w:i/>
          <w:sz w:val="20"/>
        </w:rPr>
        <w:t>The genus Vaccinium in North America</w:t>
      </w:r>
      <w:r w:rsidRPr="00AB3EFD">
        <w:rPr>
          <w:sz w:val="20"/>
        </w:rPr>
        <w:t xml:space="preserve">.  Research Branch, Agriculture </w:t>
      </w:r>
      <w:smartTag w:uri="urn:schemas-microsoft-com:office:smarttags" w:element="country-region">
        <w:smartTag w:uri="urn:schemas-microsoft-com:office:smarttags" w:element="place">
          <w:r w:rsidRPr="00AB3EFD">
            <w:rPr>
              <w:sz w:val="20"/>
            </w:rPr>
            <w:t>Canada</w:t>
          </w:r>
        </w:smartTag>
      </w:smartTag>
      <w:r w:rsidRPr="00AB3EFD">
        <w:rPr>
          <w:sz w:val="20"/>
        </w:rPr>
        <w:t xml:space="preserve">, Publ. 1828.  </w:t>
      </w:r>
    </w:p>
    <w:p w:rsidR="00AB3EFD" w:rsidRPr="00AB3EFD" w:rsidRDefault="00AB3EFD" w:rsidP="00AB3EFD">
      <w:pPr>
        <w:tabs>
          <w:tab w:val="left" w:pos="720"/>
          <w:tab w:val="left" w:pos="1170"/>
          <w:tab w:val="right" w:leader="dot" w:pos="9360"/>
        </w:tabs>
        <w:jc w:val="left"/>
        <w:rPr>
          <w:sz w:val="20"/>
        </w:rPr>
      </w:pPr>
    </w:p>
    <w:p w:rsidR="00AB3EFD" w:rsidRPr="00AB3EFD" w:rsidRDefault="00AB3EFD" w:rsidP="00AB3EFD">
      <w:pPr>
        <w:pStyle w:val="Heading2"/>
        <w:jc w:val="left"/>
        <w:rPr>
          <w:color w:val="auto"/>
          <w:sz w:val="20"/>
        </w:rPr>
      </w:pPr>
      <w:r w:rsidRPr="00AB3EFD">
        <w:rPr>
          <w:color w:val="auto"/>
          <w:sz w:val="20"/>
        </w:rPr>
        <w:t>Prepared By</w:t>
      </w:r>
    </w:p>
    <w:p w:rsidR="00AB3EFD" w:rsidRPr="00AB3EFD" w:rsidRDefault="00AB3EFD" w:rsidP="00AB3EFD">
      <w:pPr>
        <w:jc w:val="left"/>
        <w:rPr>
          <w:sz w:val="20"/>
        </w:rPr>
      </w:pPr>
      <w:r w:rsidRPr="00AB3EFD">
        <w:rPr>
          <w:i/>
          <w:sz w:val="20"/>
        </w:rPr>
        <w:t>Guy Nesom</w:t>
      </w:r>
    </w:p>
    <w:p w:rsidR="00AB3EFD" w:rsidRPr="00AB3EFD" w:rsidRDefault="00AB3EFD" w:rsidP="00AB3EFD">
      <w:pPr>
        <w:jc w:val="left"/>
        <w:rPr>
          <w:sz w:val="20"/>
        </w:rPr>
      </w:pPr>
      <w:r w:rsidRPr="00AB3EFD">
        <w:rPr>
          <w:sz w:val="20"/>
        </w:rPr>
        <w:t>Formerly BONAP, North Carolina Botanical Garden, University of North Carolina, Chapel Hill, North Carolina</w:t>
      </w:r>
    </w:p>
    <w:p w:rsidR="00AB3EFD" w:rsidRPr="00AB3EFD" w:rsidRDefault="00AB3EFD" w:rsidP="00AB3EFD">
      <w:pPr>
        <w:tabs>
          <w:tab w:val="left" w:pos="720"/>
          <w:tab w:val="left" w:pos="1170"/>
          <w:tab w:val="right" w:leader="dot" w:pos="9360"/>
        </w:tabs>
        <w:jc w:val="left"/>
        <w:rPr>
          <w:sz w:val="20"/>
        </w:rPr>
      </w:pPr>
    </w:p>
    <w:p w:rsidR="00AB3EFD" w:rsidRPr="00AB3EFD" w:rsidRDefault="00AB3EFD" w:rsidP="00AB3EFD">
      <w:pPr>
        <w:pStyle w:val="Heading2"/>
        <w:jc w:val="left"/>
        <w:rPr>
          <w:color w:val="auto"/>
          <w:sz w:val="20"/>
        </w:rPr>
      </w:pPr>
      <w:r w:rsidRPr="00AB3EFD">
        <w:rPr>
          <w:color w:val="auto"/>
          <w:sz w:val="20"/>
        </w:rPr>
        <w:t>Species Coordinator</w:t>
      </w:r>
    </w:p>
    <w:p w:rsidR="00AB3EFD" w:rsidRPr="00AB3EFD" w:rsidRDefault="00AB3EFD" w:rsidP="00AB3EFD">
      <w:pPr>
        <w:pStyle w:val="Heading3"/>
        <w:ind w:left="0" w:right="0"/>
        <w:jc w:val="left"/>
        <w:rPr>
          <w:color w:val="auto"/>
        </w:rPr>
      </w:pPr>
      <w:r w:rsidRPr="00AB3EFD">
        <w:rPr>
          <w:color w:val="auto"/>
        </w:rPr>
        <w:t>Gerald Guala</w:t>
      </w:r>
    </w:p>
    <w:p w:rsidR="00AB3EFD" w:rsidRPr="00AB3EFD" w:rsidRDefault="00AB3EFD" w:rsidP="00AB3EFD">
      <w:pPr>
        <w:tabs>
          <w:tab w:val="left" w:pos="720"/>
          <w:tab w:val="left" w:pos="1170"/>
          <w:tab w:val="right" w:leader="dot" w:pos="9360"/>
        </w:tabs>
        <w:jc w:val="left"/>
        <w:rPr>
          <w:sz w:val="20"/>
        </w:rPr>
      </w:pPr>
      <w:r w:rsidRPr="00AB3EFD">
        <w:rPr>
          <w:sz w:val="20"/>
        </w:rPr>
        <w:t xml:space="preserve">USDA, NRCS, </w:t>
      </w:r>
      <w:smartTag w:uri="urn:schemas-microsoft-com:office:smarttags" w:element="PlaceName">
        <w:r w:rsidRPr="00AB3EFD">
          <w:rPr>
            <w:sz w:val="20"/>
          </w:rPr>
          <w:t>National</w:t>
        </w:r>
      </w:smartTag>
      <w:r w:rsidRPr="00AB3EFD">
        <w:rPr>
          <w:sz w:val="20"/>
        </w:rPr>
        <w:t xml:space="preserve"> </w:t>
      </w:r>
      <w:smartTag w:uri="urn:schemas-microsoft-com:office:smarttags" w:element="PlaceName">
        <w:r w:rsidRPr="00AB3EFD">
          <w:rPr>
            <w:sz w:val="20"/>
          </w:rPr>
          <w:t>Plant</w:t>
        </w:r>
      </w:smartTag>
      <w:r w:rsidRPr="00AB3EFD">
        <w:rPr>
          <w:sz w:val="20"/>
        </w:rPr>
        <w:t xml:space="preserve"> </w:t>
      </w:r>
      <w:smartTag w:uri="urn:schemas-microsoft-com:office:smarttags" w:element="PlaceName">
        <w:r w:rsidRPr="00AB3EFD">
          <w:rPr>
            <w:sz w:val="20"/>
          </w:rPr>
          <w:t>Data</w:t>
        </w:r>
      </w:smartTag>
      <w:r w:rsidRPr="00AB3EFD">
        <w:rPr>
          <w:sz w:val="20"/>
        </w:rPr>
        <w:t xml:space="preserve"> </w:t>
      </w:r>
      <w:smartTag w:uri="urn:schemas-microsoft-com:office:smarttags" w:element="PlaceType">
        <w:r w:rsidRPr="00AB3EFD">
          <w:rPr>
            <w:sz w:val="20"/>
          </w:rPr>
          <w:t>Center</w:t>
        </w:r>
      </w:smartTag>
      <w:r w:rsidRPr="00AB3EFD">
        <w:rPr>
          <w:sz w:val="20"/>
        </w:rPr>
        <w:t xml:space="preserve">, </w:t>
      </w:r>
      <w:smartTag w:uri="urn:schemas-microsoft-com:office:smarttags" w:element="place">
        <w:smartTag w:uri="urn:schemas-microsoft-com:office:smarttags" w:element="City">
          <w:r w:rsidRPr="00AB3EFD">
            <w:rPr>
              <w:sz w:val="20"/>
            </w:rPr>
            <w:t>Baton Rouge</w:t>
          </w:r>
        </w:smartTag>
        <w:r w:rsidRPr="00AB3EFD">
          <w:rPr>
            <w:sz w:val="20"/>
          </w:rPr>
          <w:t xml:space="preserve">, </w:t>
        </w:r>
        <w:smartTag w:uri="urn:schemas-microsoft-com:office:smarttags" w:element="State">
          <w:r w:rsidRPr="00AB3EFD">
            <w:rPr>
              <w:sz w:val="20"/>
            </w:rPr>
            <w:t>Louisiana</w:t>
          </w:r>
        </w:smartTag>
      </w:smartTag>
    </w:p>
    <w:p w:rsidR="00AB3EFD" w:rsidRDefault="00AB3EFD" w:rsidP="00AB3EFD">
      <w:pPr>
        <w:tabs>
          <w:tab w:val="left" w:pos="720"/>
          <w:tab w:val="left" w:pos="1170"/>
          <w:tab w:val="right" w:leader="dot" w:pos="9360"/>
        </w:tabs>
      </w:pPr>
    </w:p>
    <w:p w:rsidR="00AB3EFD" w:rsidRDefault="00AB3EFD" w:rsidP="00AB3EFD">
      <w:pPr>
        <w:tabs>
          <w:tab w:val="left" w:pos="720"/>
          <w:tab w:val="left" w:pos="1170"/>
          <w:tab w:val="right" w:leader="dot" w:pos="9360"/>
        </w:tabs>
        <w:jc w:val="left"/>
        <w:rPr>
          <w:sz w:val="16"/>
        </w:rPr>
      </w:pPr>
      <w:r>
        <w:rPr>
          <w:sz w:val="16"/>
        </w:rPr>
        <w:t>Edited 17jan01 jsp;060818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280" w:rsidRDefault="00F72280">
      <w:r>
        <w:separator/>
      </w:r>
    </w:p>
  </w:endnote>
  <w:endnote w:type="continuationSeparator" w:id="0">
    <w:p w:rsidR="00F72280" w:rsidRDefault="00F722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280" w:rsidRDefault="00F72280">
      <w:r>
        <w:separator/>
      </w:r>
    </w:p>
  </w:footnote>
  <w:footnote w:type="continuationSeparator" w:id="0">
    <w:p w:rsidR="00F72280" w:rsidRDefault="00F722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B1D2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2C8D"/>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B1D2A"/>
    <w:rsid w:val="003E4863"/>
    <w:rsid w:val="004032F8"/>
    <w:rsid w:val="004052E3"/>
    <w:rsid w:val="00416D52"/>
    <w:rsid w:val="004340C9"/>
    <w:rsid w:val="004364E5"/>
    <w:rsid w:val="00437F11"/>
    <w:rsid w:val="004500D1"/>
    <w:rsid w:val="00480149"/>
    <w:rsid w:val="0048212B"/>
    <w:rsid w:val="00485D14"/>
    <w:rsid w:val="004911C7"/>
    <w:rsid w:val="004A50AC"/>
    <w:rsid w:val="004E2BD6"/>
    <w:rsid w:val="004F75FB"/>
    <w:rsid w:val="00520FAC"/>
    <w:rsid w:val="00592CFA"/>
    <w:rsid w:val="005A2740"/>
    <w:rsid w:val="005E45C3"/>
    <w:rsid w:val="005F19C7"/>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60785"/>
    <w:rsid w:val="00A8423D"/>
    <w:rsid w:val="00AB0F7A"/>
    <w:rsid w:val="00AB3EFD"/>
    <w:rsid w:val="00AD30BE"/>
    <w:rsid w:val="00B755F2"/>
    <w:rsid w:val="00B76A82"/>
    <w:rsid w:val="00B841F9"/>
    <w:rsid w:val="00B8425D"/>
    <w:rsid w:val="00BA0E82"/>
    <w:rsid w:val="00BD616F"/>
    <w:rsid w:val="00BE5356"/>
    <w:rsid w:val="00BF44A8"/>
    <w:rsid w:val="00C61CF9"/>
    <w:rsid w:val="00C71B7B"/>
    <w:rsid w:val="00C81773"/>
    <w:rsid w:val="00C95C6F"/>
    <w:rsid w:val="00CC0A51"/>
    <w:rsid w:val="00CC3B5E"/>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280"/>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HIGHBUSH BLUEBERRY</vt:lpstr>
    </vt:vector>
  </TitlesOfParts>
  <Company>USDA NRCS National Plant Data Center</Company>
  <LinksUpToDate>false</LinksUpToDate>
  <CharactersWithSpaces>9943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HIGHBUSH BLUEBERRY</dc:title>
  <dc:subject>Vaccinium corymbosum L.</dc:subject>
  <dc:creator>J. Scott Peterson</dc:creator>
  <cp:keywords/>
  <cp:lastModifiedBy>William Farrell</cp:lastModifiedBy>
  <cp:revision>2</cp:revision>
  <cp:lastPrinted>2003-06-09T21:39:00Z</cp:lastPrinted>
  <dcterms:created xsi:type="dcterms:W3CDTF">2011-01-26T00:16:00Z</dcterms:created>
  <dcterms:modified xsi:type="dcterms:W3CDTF">2011-01-26T00:16:00Z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