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65828" w:rsidP="000578C2">
            <w:pPr>
              <w:pStyle w:val="TitleHeader"/>
              <w:rPr>
                <w:i/>
              </w:rPr>
            </w:pPr>
            <w:smartTag w:uri="urn:schemas-microsoft-com:office:smarttags" w:element="State">
              <w:smartTag w:uri="urn:schemas-microsoft-com:office:smarttags" w:element="place">
                <w:r>
                  <w:lastRenderedPageBreak/>
                  <w:t>california</w:t>
                </w:r>
              </w:smartTag>
            </w:smartTag>
            <w:r>
              <w:t xml:space="preserve"> buckeye</w:t>
            </w:r>
          </w:p>
        </w:tc>
      </w:tr>
      <w:tr w:rsidR="00CD49CC">
        <w:tblPrEx>
          <w:tblCellMar>
            <w:top w:w="0" w:type="dxa"/>
            <w:bottom w:w="0" w:type="dxa"/>
          </w:tblCellMar>
        </w:tblPrEx>
        <w:tc>
          <w:tcPr>
            <w:tcW w:w="4410" w:type="dxa"/>
          </w:tcPr>
          <w:p w:rsidR="00CD49CC" w:rsidRPr="008F3D5A" w:rsidRDefault="00165828" w:rsidP="008F3D5A">
            <w:pPr>
              <w:pStyle w:val="Titlesubheader1"/>
              <w:rPr>
                <w:i/>
              </w:rPr>
            </w:pPr>
            <w:r>
              <w:rPr>
                <w:i/>
              </w:rPr>
              <w:t>Aesculus californica</w:t>
            </w:r>
            <w:r w:rsidR="000F1970" w:rsidRPr="008F3D5A">
              <w:t xml:space="preserve"> </w:t>
            </w:r>
            <w:r>
              <w:t>(Spach) 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2530F">
              <w:t>AECA</w:t>
            </w:r>
          </w:p>
        </w:tc>
      </w:tr>
    </w:tbl>
    <w:p w:rsidR="00CD49CC" w:rsidRPr="004A50AC" w:rsidRDefault="00CD49CC" w:rsidP="004A50AC">
      <w:pPr>
        <w:jc w:val="left"/>
        <w:rPr>
          <w:sz w:val="20"/>
        </w:rPr>
      </w:pPr>
    </w:p>
    <w:p w:rsidR="00CC574E" w:rsidRPr="00CC574E" w:rsidRDefault="00CC574E" w:rsidP="00CC574E">
      <w:pPr>
        <w:pStyle w:val="Heading1"/>
        <w:jc w:val="left"/>
        <w:rPr>
          <w:b w:val="0"/>
          <w:i/>
        </w:rPr>
      </w:pPr>
      <w:r w:rsidRPr="00CC574E">
        <w:rPr>
          <w:b w:val="0"/>
          <w:i/>
        </w:rPr>
        <w:t xml:space="preserve">Contributed By: </w:t>
      </w:r>
      <w:smartTag w:uri="urn:schemas-microsoft-com:office:smarttags" w:element="place">
        <w:smartTag w:uri="urn:schemas-microsoft-com:office:smarttags" w:element="PlaceName">
          <w:r w:rsidRPr="00CC574E">
            <w:rPr>
              <w:b w:val="0"/>
              <w:i/>
            </w:rPr>
            <w:t>USDA</w:t>
          </w:r>
        </w:smartTag>
        <w:r w:rsidRPr="00CC574E">
          <w:rPr>
            <w:b w:val="0"/>
            <w:i/>
          </w:rPr>
          <w:t xml:space="preserve"> </w:t>
        </w:r>
        <w:smartTag w:uri="urn:schemas-microsoft-com:office:smarttags" w:element="PlaceName">
          <w:r w:rsidRPr="00CC574E">
            <w:rPr>
              <w:b w:val="0"/>
              <w:i/>
            </w:rPr>
            <w:t>NRCS</w:t>
          </w:r>
        </w:smartTag>
        <w:r w:rsidRPr="00CC574E">
          <w:rPr>
            <w:b w:val="0"/>
            <w:i/>
          </w:rPr>
          <w:t xml:space="preserve"> </w:t>
        </w:r>
        <w:smartTag w:uri="urn:schemas-microsoft-com:office:smarttags" w:element="PlaceName">
          <w:r w:rsidRPr="00CC574E">
            <w:rPr>
              <w:b w:val="0"/>
              <w:i/>
            </w:rPr>
            <w:t>National</w:t>
          </w:r>
        </w:smartTag>
        <w:r w:rsidRPr="00CC574E">
          <w:rPr>
            <w:b w:val="0"/>
            <w:i/>
          </w:rPr>
          <w:t xml:space="preserve"> </w:t>
        </w:r>
        <w:smartTag w:uri="urn:schemas-microsoft-com:office:smarttags" w:element="PlaceName">
          <w:r w:rsidRPr="00CC574E">
            <w:rPr>
              <w:b w:val="0"/>
              <w:i/>
            </w:rPr>
            <w:t>Plant</w:t>
          </w:r>
        </w:smartTag>
        <w:r w:rsidRPr="00CC574E">
          <w:rPr>
            <w:b w:val="0"/>
            <w:i/>
          </w:rPr>
          <w:t xml:space="preserve"> </w:t>
        </w:r>
        <w:smartTag w:uri="urn:schemas-microsoft-com:office:smarttags" w:element="PlaceName">
          <w:r w:rsidRPr="00CC574E">
            <w:rPr>
              <w:b w:val="0"/>
              <w:i/>
            </w:rPr>
            <w:t>Data</w:t>
          </w:r>
        </w:smartTag>
        <w:r w:rsidRPr="00CC574E">
          <w:rPr>
            <w:b w:val="0"/>
            <w:i/>
          </w:rPr>
          <w:t xml:space="preserve"> </w:t>
        </w:r>
        <w:smartTag w:uri="urn:schemas-microsoft-com:office:smarttags" w:element="PlaceType">
          <w:r w:rsidRPr="00CC574E">
            <w:rPr>
              <w:b w:val="0"/>
              <w:i/>
            </w:rPr>
            <w:t>Center</w:t>
          </w:r>
        </w:smartTag>
      </w:smartTag>
    </w:p>
    <w:p w:rsidR="00CC574E" w:rsidRPr="00CC574E" w:rsidRDefault="00CC574E" w:rsidP="00CC574E">
      <w:pPr>
        <w:jc w:val="left"/>
        <w:rPr>
          <w:sz w:val="20"/>
        </w:rPr>
      </w:pPr>
      <w:r w:rsidRPr="00CC574E">
        <w:rPr>
          <w:noProof/>
          <w:sz w:val="20"/>
        </w:rPr>
        <w:pict>
          <v:shapetype id="_x0000_t202" coordsize="21600,21600" o:spt="202" path="m,l,21600r21600,l21600,xe">
            <v:stroke joinstyle="miter"/>
            <v:path gradientshapeok="t" o:connecttype="rect"/>
          </v:shapetype>
          <v:shape id="_x0000_s1066" type="#_x0000_t202" style="position:absolute;margin-left:0;margin-top:1.4pt;width:3in;height:172.8pt;z-index:251657728" o:allowincell="f" stroked="f">
            <v:textbox>
              <w:txbxContent>
                <w:p w:rsidR="00CC574E" w:rsidRDefault="00330572" w:rsidP="00CC574E">
                  <w:r>
                    <w:rPr>
                      <w:noProof/>
                    </w:rPr>
                    <w:drawing>
                      <wp:inline distT="0" distB="0" distL="0" distR="0">
                        <wp:extent cx="2552700" cy="1733550"/>
                        <wp:effectExtent l="19050" t="0" r="0" b="0"/>
                        <wp:docPr id="2" name="Picture 2" descr="Image of California buckeye (Aesculus califor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alifornia buckeye (Aesculus californica)"/>
                                <pic:cNvPicPr>
                                  <a:picLocks noChangeAspect="1" noChangeArrowheads="1"/>
                                </pic:cNvPicPr>
                              </pic:nvPicPr>
                              <pic:blipFill>
                                <a:blip r:embed="rId9"/>
                                <a:srcRect/>
                                <a:stretch>
                                  <a:fillRect/>
                                </a:stretch>
                              </pic:blipFill>
                              <pic:spPr bwMode="auto">
                                <a:xfrm>
                                  <a:off x="0" y="0"/>
                                  <a:ext cx="2552700" cy="1733550"/>
                                </a:xfrm>
                                <a:prstGeom prst="rect">
                                  <a:avLst/>
                                </a:prstGeom>
                                <a:noFill/>
                                <a:ln w="9525">
                                  <a:noFill/>
                                  <a:miter lim="800000"/>
                                  <a:headEnd/>
                                  <a:tailEnd/>
                                </a:ln>
                              </pic:spPr>
                            </pic:pic>
                          </a:graphicData>
                        </a:graphic>
                      </wp:inline>
                    </w:drawing>
                  </w:r>
                </w:p>
                <w:p w:rsidR="00CC574E" w:rsidRDefault="00CC574E" w:rsidP="00CC574E">
                  <w:pPr>
                    <w:jc w:val="right"/>
                    <w:rPr>
                      <w:sz w:val="16"/>
                    </w:rPr>
                  </w:pPr>
                  <w:r>
                    <w:rPr>
                      <w:sz w:val="16"/>
                    </w:rPr>
                    <w:t>Beatrice F. Howitt</w:t>
                  </w:r>
                </w:p>
                <w:p w:rsidR="00CC574E" w:rsidRDefault="00CC574E" w:rsidP="00CC574E">
                  <w:pPr>
                    <w:jc w:val="right"/>
                    <w:rPr>
                      <w:sz w:val="16"/>
                    </w:rPr>
                  </w:pPr>
                  <w:r>
                    <w:rPr>
                      <w:sz w:val="16"/>
                    </w:rPr>
                    <w:sym w:font="Symbol" w:char="F0D3"/>
                  </w:r>
                  <w:r>
                    <w:rPr>
                      <w:sz w:val="16"/>
                    </w:rPr>
                    <w:t xml:space="preserve"> </w:t>
                  </w: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Type">
                      <w:r>
                        <w:rPr>
                          <w:sz w:val="16"/>
                        </w:rPr>
                        <w:t>Academy</w:t>
                      </w:r>
                    </w:smartTag>
                  </w:smartTag>
                  <w:r>
                    <w:rPr>
                      <w:sz w:val="16"/>
                    </w:rPr>
                    <w:t xml:space="preserve"> of Sciences</w:t>
                  </w:r>
                </w:p>
                <w:p w:rsidR="00CC574E" w:rsidRDefault="00CC574E" w:rsidP="00CC574E">
                  <w:pPr>
                    <w:jc w:val="right"/>
                    <w:rPr>
                      <w:sz w:val="16"/>
                    </w:rPr>
                  </w:pPr>
                  <w:r>
                    <w:rPr>
                      <w:sz w:val="16"/>
                    </w:rPr>
                    <w:t>@ CalPhotos</w:t>
                  </w:r>
                </w:p>
              </w:txbxContent>
            </v:textbox>
            <w10:wrap type="topAndBottom"/>
          </v:shape>
        </w:pict>
      </w:r>
    </w:p>
    <w:p w:rsidR="00CC574E" w:rsidRPr="00CC574E" w:rsidRDefault="00CC574E" w:rsidP="00CC574E">
      <w:pPr>
        <w:pStyle w:val="Heading2"/>
        <w:jc w:val="left"/>
        <w:rPr>
          <w:b w:val="0"/>
          <w:sz w:val="20"/>
        </w:rPr>
      </w:pPr>
      <w:r w:rsidRPr="00CC574E">
        <w:rPr>
          <w:sz w:val="20"/>
        </w:rPr>
        <w:t>Alternate Names</w:t>
      </w:r>
      <w:r w:rsidRPr="00CC574E">
        <w:rPr>
          <w:sz w:val="20"/>
        </w:rPr>
        <w:cr/>
      </w:r>
      <w:r w:rsidRPr="00CC574E">
        <w:rPr>
          <w:b w:val="0"/>
          <w:sz w:val="20"/>
        </w:rPr>
        <w:t>Horse chesnut; Indian names: de-sa' ka-la' (Pomo); far'-sokt (Nomlaki); sympt'-ol (Yuki); ah'-te (Coast Miwok)</w:t>
      </w:r>
    </w:p>
    <w:p w:rsidR="00CC574E" w:rsidRPr="00CC574E" w:rsidRDefault="00CC574E" w:rsidP="00CC574E">
      <w:pPr>
        <w:jc w:val="left"/>
        <w:rPr>
          <w:sz w:val="20"/>
        </w:rPr>
      </w:pPr>
    </w:p>
    <w:p w:rsidR="00CC574E" w:rsidRPr="00CC574E" w:rsidRDefault="00CC574E" w:rsidP="00CC574E">
      <w:pPr>
        <w:pStyle w:val="Heading2"/>
        <w:jc w:val="left"/>
        <w:rPr>
          <w:sz w:val="20"/>
        </w:rPr>
      </w:pPr>
      <w:r w:rsidRPr="00CC574E">
        <w:rPr>
          <w:sz w:val="20"/>
        </w:rPr>
        <w:t>Uses</w:t>
      </w:r>
    </w:p>
    <w:p w:rsidR="00CC574E" w:rsidRPr="00CC574E" w:rsidRDefault="00CC574E" w:rsidP="00CC574E">
      <w:pPr>
        <w:jc w:val="left"/>
        <w:rPr>
          <w:sz w:val="20"/>
        </w:rPr>
      </w:pPr>
      <w:r w:rsidRPr="00CC574E">
        <w:rPr>
          <w:i/>
          <w:sz w:val="20"/>
        </w:rPr>
        <w:t>Ethnobotanic</w:t>
      </w:r>
      <w:r w:rsidRPr="00CC574E">
        <w:rPr>
          <w:sz w:val="20"/>
        </w:rPr>
        <w:t xml:space="preserve">: This tree had multiple cultural uses among California Indian tribes.  Many indigenous groups utilized buckeye seeds for food, often when other plant food sources were scarce.  These tribes included the Costanoan, Salinan, Kitanemuk, Serrano, Wappo, Sierra Miwok, Coast Miwok, Chumash, Kawaiisu, Northern Maidu among others.  The Pomo ate the seeds even when other important food plants were plentiful.  The seeds are poisonous to humans in the raw state.  Thus, the nuts were cracked open with a rock, the shells removed, the seeds pounded into flour, and their toxic saponins removed in a lengthy leaching process.  The meal was subsequently cooked and eaten.  There are many different methods for processing and cooking buckeye seeds for food, depending upon the tribe.  The seeds have medicinal properties and were cut into pieces, mixed with water, and made into suppositories for hemorrhoids by the Costanoan and </w:t>
      </w:r>
      <w:r w:rsidRPr="00CC574E">
        <w:rPr>
          <w:sz w:val="20"/>
        </w:rPr>
        <w:lastRenderedPageBreak/>
        <w:t>Kawaiisu.  The Pomo cut bark from the base of the tree and made a poultice, which was laid on a snakebite.  Young buckeye shoots were sometimes used as spindles or twirling sticks in fire-making kits of the Sierra Miwok, Northern Maidu, Wappo, Yahi and other tribes. Many tribes mashed buckeye nuts and poured the contents into quiet pools to stupefy or kill fish.</w:t>
      </w:r>
    </w:p>
    <w:p w:rsidR="00CC574E" w:rsidRPr="00CC574E" w:rsidRDefault="00CC574E" w:rsidP="00CC574E">
      <w:pPr>
        <w:jc w:val="left"/>
        <w:rPr>
          <w:sz w:val="20"/>
        </w:rPr>
      </w:pPr>
    </w:p>
    <w:p w:rsidR="00CC574E" w:rsidRPr="00CC574E" w:rsidRDefault="00CC574E" w:rsidP="00CC574E">
      <w:pPr>
        <w:jc w:val="left"/>
        <w:rPr>
          <w:sz w:val="20"/>
        </w:rPr>
      </w:pPr>
      <w:r w:rsidRPr="00CC574E">
        <w:rPr>
          <w:i/>
          <w:sz w:val="20"/>
        </w:rPr>
        <w:t>Wildlife</w:t>
      </w:r>
      <w:r w:rsidRPr="00CC574E">
        <w:rPr>
          <w:sz w:val="20"/>
        </w:rPr>
        <w:t xml:space="preserve">: Do not plant buckeyes near apiaries as the flowers are poisonous to honey bees.  No wildlife eat buckeye seeds except squirrels, such as the </w:t>
      </w:r>
      <w:smartTag w:uri="urn:schemas-microsoft-com:office:smarttags" w:element="place">
        <w:smartTag w:uri="urn:schemas-microsoft-com:office:smarttags" w:element="State">
          <w:r w:rsidRPr="00CC574E">
            <w:rPr>
              <w:sz w:val="20"/>
            </w:rPr>
            <w:t>California</w:t>
          </w:r>
        </w:smartTag>
      </w:smartTag>
      <w:r w:rsidRPr="00CC574E">
        <w:rPr>
          <w:sz w:val="20"/>
        </w:rPr>
        <w:t xml:space="preserve"> ground squirrel (</w:t>
      </w:r>
      <w:r w:rsidRPr="00CC574E">
        <w:rPr>
          <w:i/>
          <w:sz w:val="20"/>
        </w:rPr>
        <w:t>Citellus beecheyi</w:t>
      </w:r>
      <w:r w:rsidRPr="00CC574E">
        <w:rPr>
          <w:sz w:val="20"/>
        </w:rPr>
        <w:t>).</w:t>
      </w:r>
    </w:p>
    <w:p w:rsidR="00CC574E" w:rsidRPr="00CC574E" w:rsidRDefault="00CC574E" w:rsidP="00CC574E">
      <w:pPr>
        <w:jc w:val="left"/>
        <w:rPr>
          <w:sz w:val="20"/>
        </w:rPr>
      </w:pPr>
    </w:p>
    <w:p w:rsidR="00CC574E" w:rsidRPr="00CC574E" w:rsidRDefault="00CC574E" w:rsidP="00CC574E">
      <w:pPr>
        <w:pStyle w:val="Heading2"/>
        <w:jc w:val="left"/>
        <w:rPr>
          <w:sz w:val="20"/>
        </w:rPr>
      </w:pPr>
      <w:r w:rsidRPr="00CC574E">
        <w:rPr>
          <w:sz w:val="20"/>
        </w:rPr>
        <w:t>Status</w:t>
      </w:r>
    </w:p>
    <w:p w:rsidR="00CC574E" w:rsidRPr="00CC574E" w:rsidRDefault="00CC574E" w:rsidP="00CC574E">
      <w:pPr>
        <w:jc w:val="left"/>
        <w:rPr>
          <w:sz w:val="20"/>
        </w:rPr>
      </w:pPr>
      <w:r w:rsidRPr="00CC574E">
        <w:rPr>
          <w:sz w:val="20"/>
        </w:rPr>
        <w:t>Please consult the PLANTS Web site and your State Department of Natural Resources for this plant’s current status (e.g. threatened or endangered species, state noxious status, and wetland indicator values).</w:t>
      </w:r>
    </w:p>
    <w:p w:rsidR="00CC574E" w:rsidRPr="00CC574E" w:rsidRDefault="00CC574E" w:rsidP="00CC574E">
      <w:pPr>
        <w:jc w:val="left"/>
        <w:rPr>
          <w:sz w:val="20"/>
        </w:rPr>
      </w:pPr>
      <w:r w:rsidRPr="00CC574E">
        <w:rPr>
          <w:sz w:val="20"/>
        </w:rPr>
        <w:cr/>
      </w:r>
      <w:r w:rsidRPr="00CC574E">
        <w:rPr>
          <w:b/>
          <w:sz w:val="20"/>
        </w:rPr>
        <w:t>Description</w:t>
      </w:r>
      <w:r w:rsidRPr="00CC574E">
        <w:rPr>
          <w:b/>
          <w:sz w:val="20"/>
        </w:rPr>
        <w:cr/>
      </w:r>
      <w:r w:rsidRPr="00CC574E">
        <w:rPr>
          <w:i/>
          <w:sz w:val="20"/>
        </w:rPr>
        <w:t>General</w:t>
      </w:r>
      <w:r w:rsidRPr="00CC574E">
        <w:rPr>
          <w:sz w:val="20"/>
        </w:rPr>
        <w:t xml:space="preserve">: Buckeye Family (Hippocastanaceae).  This native, deciduous shrub or tree reaches 12 m in height with a broad, rounded crown.  The palmately compound leaves occur in leaflets of 5 to 7 and each leaflet is oblong-lanceolate and finely serrate.  The inflorescence has many showy flowers in a panicle-like arrangement and it is erect, 1-2 dm. in length.  Each individual flower has 4-5 petals and these are white to pale rose with 5-7 exserted stamens.  The fruit is pear-shaped and smooth.  The large, shiny light-brown seeds are 2-5 cm.  </w:t>
      </w:r>
    </w:p>
    <w:p w:rsidR="00CC574E" w:rsidRPr="00CC574E" w:rsidRDefault="00CC574E" w:rsidP="00CC574E">
      <w:pPr>
        <w:jc w:val="left"/>
        <w:rPr>
          <w:sz w:val="20"/>
        </w:rPr>
      </w:pPr>
    </w:p>
    <w:p w:rsidR="00CC574E" w:rsidRPr="00CC574E" w:rsidRDefault="00CC574E" w:rsidP="00CC574E">
      <w:pPr>
        <w:pStyle w:val="Heading2"/>
        <w:jc w:val="left"/>
        <w:rPr>
          <w:sz w:val="20"/>
        </w:rPr>
      </w:pPr>
      <w:r w:rsidRPr="00CC574E">
        <w:rPr>
          <w:sz w:val="20"/>
        </w:rPr>
        <w:t>Distribution</w:t>
      </w:r>
    </w:p>
    <w:p w:rsidR="00CC574E" w:rsidRPr="00CC574E" w:rsidRDefault="00CC574E" w:rsidP="00CC574E">
      <w:pPr>
        <w:jc w:val="left"/>
        <w:rPr>
          <w:sz w:val="20"/>
        </w:rPr>
      </w:pPr>
      <w:r w:rsidRPr="00CC574E">
        <w:rPr>
          <w:sz w:val="20"/>
        </w:rPr>
        <w:t>For current distribution, please consult the Plant Profile page for this species on the PLANTS Web site.</w:t>
      </w:r>
    </w:p>
    <w:p w:rsidR="00CC574E" w:rsidRPr="00CC574E" w:rsidRDefault="00CC574E" w:rsidP="00CC574E">
      <w:pPr>
        <w:jc w:val="left"/>
        <w:rPr>
          <w:sz w:val="20"/>
        </w:rPr>
      </w:pPr>
      <w:r w:rsidRPr="00CC574E">
        <w:rPr>
          <w:sz w:val="20"/>
        </w:rPr>
        <w:cr/>
      </w:r>
      <w:r w:rsidRPr="00CC574E">
        <w:rPr>
          <w:b/>
          <w:sz w:val="20"/>
        </w:rPr>
        <w:t>Establishment</w:t>
      </w:r>
      <w:r w:rsidRPr="00CC574E">
        <w:rPr>
          <w:b/>
          <w:sz w:val="20"/>
        </w:rPr>
        <w:cr/>
      </w:r>
      <w:r w:rsidRPr="00CC574E">
        <w:rPr>
          <w:i/>
          <w:sz w:val="20"/>
        </w:rPr>
        <w:t>Adaptation</w:t>
      </w:r>
      <w:r w:rsidRPr="00CC574E">
        <w:rPr>
          <w:sz w:val="20"/>
        </w:rPr>
        <w:t xml:space="preserve">: The </w:t>
      </w:r>
      <w:smartTag w:uri="urn:schemas-microsoft-com:office:smarttags" w:element="State">
        <w:smartTag w:uri="urn:schemas-microsoft-com:office:smarttags" w:element="place">
          <w:r w:rsidRPr="00CC574E">
            <w:rPr>
              <w:sz w:val="20"/>
            </w:rPr>
            <w:t>California</w:t>
          </w:r>
        </w:smartTag>
      </w:smartTag>
      <w:r w:rsidRPr="00CC574E">
        <w:rPr>
          <w:sz w:val="20"/>
        </w:rPr>
        <w:t xml:space="preserve"> buckeye is one of the first shrubs to leaf out in spring and one of the earliest to shed its leaves in mid-summer. It is found on dry slopes, canyons and the borders of streams in many plant communities below 1700 m. in northwestern and central western </w:t>
      </w:r>
      <w:smartTag w:uri="urn:schemas-microsoft-com:office:smarttags" w:element="State">
        <w:r w:rsidRPr="00CC574E">
          <w:rPr>
            <w:sz w:val="20"/>
          </w:rPr>
          <w:t>California</w:t>
        </w:r>
      </w:smartTag>
      <w:r w:rsidRPr="00CC574E">
        <w:rPr>
          <w:sz w:val="20"/>
        </w:rPr>
        <w:t xml:space="preserve">, Cascade Range, Sierra Nevada foothills, Tehachapi Mountains, Great Central Valley, and southwestern </w:t>
      </w:r>
      <w:smartTag w:uri="urn:schemas-microsoft-com:office:smarttags" w:element="place">
        <w:r w:rsidRPr="00CC574E">
          <w:rPr>
            <w:sz w:val="20"/>
          </w:rPr>
          <w:t>Mohave Desert</w:t>
        </w:r>
      </w:smartTag>
      <w:r w:rsidRPr="00CC574E">
        <w:rPr>
          <w:sz w:val="20"/>
        </w:rPr>
        <w:t>.</w:t>
      </w:r>
    </w:p>
    <w:p w:rsidR="00CC574E" w:rsidRPr="00CC574E" w:rsidRDefault="00CC574E" w:rsidP="00CC574E">
      <w:pPr>
        <w:jc w:val="left"/>
        <w:rPr>
          <w:sz w:val="20"/>
        </w:rPr>
      </w:pPr>
    </w:p>
    <w:p w:rsidR="00CC574E" w:rsidRPr="00CC574E" w:rsidRDefault="00CC574E" w:rsidP="00CC574E">
      <w:pPr>
        <w:jc w:val="left"/>
        <w:rPr>
          <w:sz w:val="20"/>
        </w:rPr>
      </w:pPr>
      <w:r w:rsidRPr="00CC574E">
        <w:rPr>
          <w:i/>
          <w:sz w:val="20"/>
        </w:rPr>
        <w:t>General</w:t>
      </w:r>
      <w:r w:rsidRPr="00CC574E">
        <w:rPr>
          <w:sz w:val="20"/>
        </w:rPr>
        <w:t xml:space="preserve">: Harvest the large seeds from the tree or shrub about November.  Plant them in the ground immediately--half buried in an area of full sun or light shade.  There is a light spot on the seed, which </w:t>
      </w:r>
      <w:r w:rsidRPr="00CC574E">
        <w:rPr>
          <w:sz w:val="20"/>
        </w:rPr>
        <w:lastRenderedPageBreak/>
        <w:t xml:space="preserve">is the growing point when being formed.  The radicle will sprout from this area so make sure that this spot is covered with soil. Plant the seeds in a well-drained soil.  Water the soil immediately after planting, and if there is not enough rain during the rainy season, supplement it with hand watering.  The plants will also need some summer watering the first year so a good rule to follow is to keep the soil damp.  The tree is a fast grower and can achieve as much as ten inches in height in one year.  After buckeye seeds have been in the ground one full year, they should become established, and will not need continual care.  </w:t>
      </w:r>
    </w:p>
    <w:p w:rsidR="00CC574E" w:rsidRPr="00CC574E" w:rsidRDefault="00CC574E" w:rsidP="00CC574E">
      <w:pPr>
        <w:jc w:val="left"/>
        <w:rPr>
          <w:sz w:val="20"/>
        </w:rPr>
      </w:pPr>
    </w:p>
    <w:p w:rsidR="00CC574E" w:rsidRPr="00CC574E" w:rsidRDefault="00CC574E" w:rsidP="00CC574E">
      <w:pPr>
        <w:pStyle w:val="Heading2"/>
        <w:jc w:val="left"/>
        <w:rPr>
          <w:sz w:val="20"/>
        </w:rPr>
      </w:pPr>
      <w:r w:rsidRPr="00CC574E">
        <w:rPr>
          <w:sz w:val="20"/>
        </w:rPr>
        <w:t xml:space="preserve">Management </w:t>
      </w:r>
    </w:p>
    <w:p w:rsidR="00CC574E" w:rsidRPr="00CC574E" w:rsidRDefault="00CC574E" w:rsidP="00CC574E">
      <w:pPr>
        <w:jc w:val="left"/>
        <w:rPr>
          <w:sz w:val="20"/>
        </w:rPr>
      </w:pPr>
      <w:r w:rsidRPr="00CC574E">
        <w:rPr>
          <w:sz w:val="20"/>
        </w:rPr>
        <w:t>When the shrub is mature, dead and dying branches can be lightly pruned if necessary.</w:t>
      </w:r>
    </w:p>
    <w:p w:rsidR="00CC574E" w:rsidRPr="00CC574E" w:rsidRDefault="00CC574E" w:rsidP="00CC574E">
      <w:pPr>
        <w:jc w:val="left"/>
        <w:rPr>
          <w:sz w:val="20"/>
        </w:rPr>
      </w:pPr>
    </w:p>
    <w:p w:rsidR="00CC574E" w:rsidRPr="00CC574E" w:rsidRDefault="00CC574E" w:rsidP="00CC574E">
      <w:pPr>
        <w:pStyle w:val="Heading2"/>
        <w:jc w:val="left"/>
        <w:rPr>
          <w:sz w:val="20"/>
        </w:rPr>
      </w:pPr>
      <w:r w:rsidRPr="00CC574E">
        <w:rPr>
          <w:sz w:val="20"/>
        </w:rPr>
        <w:t>Cultivars, Improved and Selected Materials (and area of origin)</w:t>
      </w:r>
    </w:p>
    <w:p w:rsidR="00CC574E" w:rsidRPr="00CC574E" w:rsidRDefault="00CC574E" w:rsidP="00CC574E">
      <w:pPr>
        <w:jc w:val="left"/>
        <w:rPr>
          <w:sz w:val="20"/>
        </w:rPr>
      </w:pPr>
      <w:r w:rsidRPr="00CC574E">
        <w:rPr>
          <w:sz w:val="20"/>
        </w:rPr>
        <w:t>These plant materials are readily available from commercial sources.</w:t>
      </w:r>
    </w:p>
    <w:p w:rsidR="00CC574E" w:rsidRPr="00CC574E" w:rsidRDefault="00CC574E" w:rsidP="00CC574E">
      <w:pPr>
        <w:jc w:val="left"/>
        <w:rPr>
          <w:sz w:val="20"/>
        </w:rPr>
      </w:pPr>
      <w:r w:rsidRPr="00CC574E">
        <w:rPr>
          <w:sz w:val="20"/>
        </w:rPr>
        <w:cr/>
      </w:r>
      <w:r w:rsidRPr="00CC574E">
        <w:rPr>
          <w:b/>
          <w:sz w:val="20"/>
        </w:rPr>
        <w:t>References</w:t>
      </w:r>
      <w:r w:rsidRPr="00CC574E">
        <w:rPr>
          <w:b/>
          <w:sz w:val="20"/>
        </w:rPr>
        <w:cr/>
      </w:r>
      <w:r w:rsidRPr="00CC574E">
        <w:rPr>
          <w:sz w:val="20"/>
        </w:rPr>
        <w:t xml:space="preserve">Beard, Y.S. 1979.  </w:t>
      </w:r>
      <w:r w:rsidRPr="00CC574E">
        <w:rPr>
          <w:i/>
          <w:sz w:val="20"/>
        </w:rPr>
        <w:t>The Wappo: A report</w:t>
      </w:r>
      <w:r w:rsidRPr="00CC574E">
        <w:rPr>
          <w:sz w:val="20"/>
        </w:rPr>
        <w:t xml:space="preserve">.  </w:t>
      </w:r>
      <w:smartTag w:uri="urn:schemas-microsoft-com:office:smarttags" w:element="PlaceName">
        <w:r w:rsidRPr="00CC574E">
          <w:rPr>
            <w:sz w:val="20"/>
          </w:rPr>
          <w:t>Malki</w:t>
        </w:r>
      </w:smartTag>
      <w:r w:rsidRPr="00CC574E">
        <w:rPr>
          <w:sz w:val="20"/>
        </w:rPr>
        <w:t xml:space="preserve"> </w:t>
      </w:r>
      <w:smartTag w:uri="urn:schemas-microsoft-com:office:smarttags" w:element="PlaceType">
        <w:r w:rsidRPr="00CC574E">
          <w:rPr>
            <w:sz w:val="20"/>
          </w:rPr>
          <w:t>Museum</w:t>
        </w:r>
      </w:smartTag>
      <w:r w:rsidRPr="00CC574E">
        <w:rPr>
          <w:sz w:val="20"/>
        </w:rPr>
        <w:t xml:space="preserve"> Press, Morongo Indian Reservation, Banning, </w:t>
      </w:r>
      <w:smartTag w:uri="urn:schemas-microsoft-com:office:smarttags" w:element="place">
        <w:smartTag w:uri="urn:schemas-microsoft-com:office:smarttags" w:element="State">
          <w:r w:rsidRPr="00CC574E">
            <w:rPr>
              <w:sz w:val="20"/>
            </w:rPr>
            <w:t>California</w:t>
          </w:r>
        </w:smartTag>
      </w:smartTag>
      <w:r w:rsidRPr="00CC574E">
        <w:rPr>
          <w:sz w:val="20"/>
        </w:rPr>
        <w:t>.</w:t>
      </w:r>
    </w:p>
    <w:p w:rsidR="00CC574E" w:rsidRPr="00CC574E" w:rsidRDefault="00CC574E" w:rsidP="00CC574E">
      <w:pPr>
        <w:jc w:val="left"/>
        <w:rPr>
          <w:sz w:val="20"/>
        </w:rPr>
      </w:pPr>
    </w:p>
    <w:p w:rsidR="00CC574E" w:rsidRPr="00CC574E" w:rsidRDefault="00CC574E" w:rsidP="00CC574E">
      <w:pPr>
        <w:jc w:val="left"/>
        <w:rPr>
          <w:sz w:val="20"/>
        </w:rPr>
      </w:pPr>
      <w:r w:rsidRPr="00CC574E">
        <w:rPr>
          <w:sz w:val="20"/>
        </w:rPr>
        <w:t xml:space="preserve">Collier, M.E.T. &amp; S.B. Thalman (editors) 1991.  </w:t>
      </w:r>
      <w:r w:rsidRPr="00CC574E">
        <w:rPr>
          <w:i/>
          <w:sz w:val="20"/>
        </w:rPr>
        <w:t>Interviews with Tom Smith and Maria Copa: Isabel Kelly's ethnographic notes on the Coast Miwok Indians of Marin and southern Sonoma Counties, California</w:t>
      </w:r>
      <w:r w:rsidRPr="00CC574E">
        <w:rPr>
          <w:sz w:val="20"/>
        </w:rPr>
        <w:t>.  Miwok Archeological Preserve of Marin Occasional Papers Number 6.</w:t>
      </w:r>
    </w:p>
    <w:p w:rsidR="00CC574E" w:rsidRPr="00CC574E" w:rsidRDefault="00CC574E" w:rsidP="00CC574E">
      <w:pPr>
        <w:jc w:val="left"/>
        <w:rPr>
          <w:sz w:val="20"/>
        </w:rPr>
      </w:pPr>
    </w:p>
    <w:p w:rsidR="00CC574E" w:rsidRPr="00CC574E" w:rsidRDefault="00CC574E" w:rsidP="00CC574E">
      <w:pPr>
        <w:jc w:val="left"/>
        <w:rPr>
          <w:sz w:val="20"/>
        </w:rPr>
      </w:pPr>
      <w:smartTag w:uri="urn:schemas-microsoft-com:office:smarttags" w:element="City">
        <w:smartTag w:uri="urn:schemas-microsoft-com:office:smarttags" w:element="place">
          <w:r w:rsidRPr="00CC574E">
            <w:rPr>
              <w:sz w:val="20"/>
            </w:rPr>
            <w:t>Dixon</w:t>
          </w:r>
        </w:smartTag>
      </w:smartTag>
      <w:r w:rsidRPr="00CC574E">
        <w:rPr>
          <w:sz w:val="20"/>
        </w:rPr>
        <w:t xml:space="preserve">, R.B. 1905.  </w:t>
      </w:r>
      <w:r w:rsidRPr="00CC574E">
        <w:rPr>
          <w:i/>
          <w:sz w:val="20"/>
        </w:rPr>
        <w:t>The Huntington California expedition: the Northern Maidu</w:t>
      </w:r>
      <w:r w:rsidRPr="00CC574E">
        <w:rPr>
          <w:sz w:val="20"/>
        </w:rPr>
        <w:t xml:space="preserve">.  Bulletin of the </w:t>
      </w:r>
      <w:smartTag w:uri="urn:schemas-microsoft-com:office:smarttags" w:element="place">
        <w:smartTag w:uri="urn:schemas-microsoft-com:office:smarttags" w:element="PlaceName">
          <w:r w:rsidRPr="00CC574E">
            <w:rPr>
              <w:sz w:val="20"/>
            </w:rPr>
            <w:t>American</w:t>
          </w:r>
        </w:smartTag>
        <w:r w:rsidRPr="00CC574E">
          <w:rPr>
            <w:sz w:val="20"/>
          </w:rPr>
          <w:t xml:space="preserve"> </w:t>
        </w:r>
        <w:smartTag w:uri="urn:schemas-microsoft-com:office:smarttags" w:element="PlaceType">
          <w:r w:rsidRPr="00CC574E">
            <w:rPr>
              <w:sz w:val="20"/>
            </w:rPr>
            <w:t>Museum</w:t>
          </w:r>
        </w:smartTag>
      </w:smartTag>
      <w:r w:rsidRPr="00CC574E">
        <w:rPr>
          <w:sz w:val="20"/>
        </w:rPr>
        <w:t xml:space="preserve"> of Natural History 17(3):119-346.</w:t>
      </w:r>
    </w:p>
    <w:p w:rsidR="00CC574E" w:rsidRPr="00CC574E" w:rsidRDefault="00CC574E" w:rsidP="00CC574E">
      <w:pPr>
        <w:jc w:val="left"/>
        <w:rPr>
          <w:sz w:val="20"/>
        </w:rPr>
      </w:pPr>
    </w:p>
    <w:p w:rsidR="00CC574E" w:rsidRPr="00CC574E" w:rsidRDefault="00CC574E" w:rsidP="00CC574E">
      <w:pPr>
        <w:jc w:val="left"/>
        <w:rPr>
          <w:sz w:val="20"/>
        </w:rPr>
      </w:pPr>
      <w:r w:rsidRPr="00CC574E">
        <w:rPr>
          <w:sz w:val="20"/>
        </w:rPr>
        <w:t xml:space="preserve">Goodrich, J., C. Lawson, &amp; V.P. Lawson. 1980.  </w:t>
      </w:r>
      <w:r w:rsidRPr="00CC574E">
        <w:rPr>
          <w:i/>
          <w:sz w:val="20"/>
        </w:rPr>
        <w:t>Kashaya Pomo plants</w:t>
      </w:r>
      <w:r w:rsidRPr="00CC574E">
        <w:rPr>
          <w:sz w:val="20"/>
        </w:rPr>
        <w:t xml:space="preserve">.  </w:t>
      </w:r>
      <w:smartTag w:uri="urn:schemas-microsoft-com:office:smarttags" w:element="PlaceName">
        <w:r w:rsidRPr="00CC574E">
          <w:rPr>
            <w:sz w:val="20"/>
          </w:rPr>
          <w:t>American</w:t>
        </w:r>
      </w:smartTag>
      <w:r w:rsidRPr="00CC574E">
        <w:rPr>
          <w:sz w:val="20"/>
        </w:rPr>
        <w:t xml:space="preserve"> </w:t>
      </w:r>
      <w:smartTag w:uri="urn:schemas-microsoft-com:office:smarttags" w:element="PlaceName">
        <w:r w:rsidRPr="00CC574E">
          <w:rPr>
            <w:sz w:val="20"/>
          </w:rPr>
          <w:t>Indian</w:t>
        </w:r>
      </w:smartTag>
      <w:r w:rsidRPr="00CC574E">
        <w:rPr>
          <w:sz w:val="20"/>
        </w:rPr>
        <w:t xml:space="preserve"> </w:t>
      </w:r>
      <w:smartTag w:uri="urn:schemas-microsoft-com:office:smarttags" w:element="PlaceName">
        <w:r w:rsidRPr="00CC574E">
          <w:rPr>
            <w:sz w:val="20"/>
          </w:rPr>
          <w:t>Studies</w:t>
        </w:r>
      </w:smartTag>
      <w:r w:rsidRPr="00CC574E">
        <w:rPr>
          <w:sz w:val="20"/>
        </w:rPr>
        <w:t xml:space="preserve"> </w:t>
      </w:r>
      <w:smartTag w:uri="urn:schemas-microsoft-com:office:smarttags" w:element="PlaceType">
        <w:r w:rsidRPr="00CC574E">
          <w:rPr>
            <w:sz w:val="20"/>
          </w:rPr>
          <w:t>Center</w:t>
        </w:r>
      </w:smartTag>
      <w:r w:rsidRPr="00CC574E">
        <w:rPr>
          <w:sz w:val="20"/>
        </w:rPr>
        <w:t xml:space="preserve">, </w:t>
      </w:r>
      <w:smartTag w:uri="urn:schemas-microsoft-com:office:smarttags" w:element="PlaceType">
        <w:r w:rsidRPr="00CC574E">
          <w:rPr>
            <w:sz w:val="20"/>
          </w:rPr>
          <w:t>University</w:t>
        </w:r>
      </w:smartTag>
      <w:r w:rsidRPr="00CC574E">
        <w:rPr>
          <w:sz w:val="20"/>
        </w:rPr>
        <w:t xml:space="preserve"> of </w:t>
      </w:r>
      <w:smartTag w:uri="urn:schemas-microsoft-com:office:smarttags" w:element="PlaceName">
        <w:r w:rsidRPr="00CC574E">
          <w:rPr>
            <w:sz w:val="20"/>
          </w:rPr>
          <w:t>California</w:t>
        </w:r>
      </w:smartTag>
      <w:r w:rsidRPr="00CC574E">
        <w:rPr>
          <w:sz w:val="20"/>
        </w:rPr>
        <w:t xml:space="preserve">, </w:t>
      </w:r>
      <w:smartTag w:uri="urn:schemas-microsoft-com:office:smarttags" w:element="place">
        <w:smartTag w:uri="urn:schemas-microsoft-com:office:smarttags" w:element="City">
          <w:r w:rsidRPr="00CC574E">
            <w:rPr>
              <w:sz w:val="20"/>
            </w:rPr>
            <w:t>Los Angeles</w:t>
          </w:r>
        </w:smartTag>
        <w:r w:rsidRPr="00CC574E">
          <w:rPr>
            <w:sz w:val="20"/>
          </w:rPr>
          <w:t xml:space="preserve">, </w:t>
        </w:r>
        <w:smartTag w:uri="urn:schemas-microsoft-com:office:smarttags" w:element="State">
          <w:r w:rsidRPr="00CC574E">
            <w:rPr>
              <w:sz w:val="20"/>
            </w:rPr>
            <w:t>California</w:t>
          </w:r>
        </w:smartTag>
      </w:smartTag>
      <w:r w:rsidRPr="00CC574E">
        <w:rPr>
          <w:sz w:val="20"/>
        </w:rPr>
        <w:t>.</w:t>
      </w:r>
    </w:p>
    <w:p w:rsidR="00CC574E" w:rsidRPr="00CC574E" w:rsidRDefault="00CC574E" w:rsidP="00CC574E">
      <w:pPr>
        <w:jc w:val="left"/>
        <w:rPr>
          <w:sz w:val="20"/>
        </w:rPr>
      </w:pPr>
    </w:p>
    <w:p w:rsidR="00CC574E" w:rsidRPr="00CC574E" w:rsidRDefault="00CC574E" w:rsidP="00CC574E">
      <w:pPr>
        <w:jc w:val="left"/>
        <w:rPr>
          <w:sz w:val="20"/>
        </w:rPr>
      </w:pPr>
      <w:r w:rsidRPr="00CC574E">
        <w:rPr>
          <w:sz w:val="20"/>
        </w:rPr>
        <w:t xml:space="preserve">Harrington, J.P. 1942.  </w:t>
      </w:r>
      <w:r w:rsidRPr="00CC574E">
        <w:rPr>
          <w:i/>
          <w:sz w:val="20"/>
        </w:rPr>
        <w:t xml:space="preserve">Culture element distributions: XIX central </w:t>
      </w:r>
      <w:smartTag w:uri="urn:schemas-microsoft-com:office:smarttags" w:element="State">
        <w:smartTag w:uri="urn:schemas-microsoft-com:office:smarttags" w:element="place">
          <w:r w:rsidRPr="00CC574E">
            <w:rPr>
              <w:i/>
              <w:sz w:val="20"/>
            </w:rPr>
            <w:t>California</w:t>
          </w:r>
        </w:smartTag>
      </w:smartTag>
      <w:r w:rsidRPr="00CC574E">
        <w:rPr>
          <w:i/>
          <w:sz w:val="20"/>
        </w:rPr>
        <w:t xml:space="preserve"> coast</w:t>
      </w:r>
      <w:r w:rsidRPr="00CC574E">
        <w:rPr>
          <w:sz w:val="20"/>
        </w:rPr>
        <w:t>.  Anthropological Records 7(1): 1-45.</w:t>
      </w:r>
    </w:p>
    <w:p w:rsidR="00CC574E" w:rsidRPr="00CC574E" w:rsidRDefault="00CC574E" w:rsidP="00CC574E">
      <w:pPr>
        <w:jc w:val="left"/>
        <w:rPr>
          <w:sz w:val="20"/>
        </w:rPr>
      </w:pPr>
    </w:p>
    <w:p w:rsidR="00CC574E" w:rsidRPr="00CC574E" w:rsidRDefault="00CC574E" w:rsidP="00CC574E">
      <w:pPr>
        <w:jc w:val="left"/>
        <w:rPr>
          <w:sz w:val="20"/>
        </w:rPr>
      </w:pPr>
      <w:r w:rsidRPr="00CC574E">
        <w:rPr>
          <w:sz w:val="20"/>
        </w:rPr>
        <w:t xml:space="preserve">Martin, A.C., H.S. Zim, &amp; A.L. Nelson. 1951.  </w:t>
      </w:r>
      <w:r w:rsidRPr="00CC574E">
        <w:rPr>
          <w:i/>
          <w:sz w:val="20"/>
        </w:rPr>
        <w:t>American wildlife and plants: A guide to wildlife food habits</w:t>
      </w:r>
      <w:r w:rsidRPr="00CC574E">
        <w:rPr>
          <w:sz w:val="20"/>
        </w:rPr>
        <w:t xml:space="preserve">.  Dover Publications, Inc., </w:t>
      </w:r>
      <w:smartTag w:uri="urn:schemas-microsoft-com:office:smarttags" w:element="place">
        <w:smartTag w:uri="urn:schemas-microsoft-com:office:smarttags" w:element="City">
          <w:r w:rsidRPr="00CC574E">
            <w:rPr>
              <w:sz w:val="20"/>
            </w:rPr>
            <w:t>New York</w:t>
          </w:r>
        </w:smartTag>
        <w:r w:rsidRPr="00CC574E">
          <w:rPr>
            <w:sz w:val="20"/>
          </w:rPr>
          <w:t xml:space="preserve">, </w:t>
        </w:r>
        <w:smartTag w:uri="urn:schemas-microsoft-com:office:smarttags" w:element="State">
          <w:r w:rsidRPr="00CC574E">
            <w:rPr>
              <w:sz w:val="20"/>
            </w:rPr>
            <w:t>New York</w:t>
          </w:r>
        </w:smartTag>
      </w:smartTag>
      <w:r w:rsidRPr="00CC574E">
        <w:rPr>
          <w:sz w:val="20"/>
        </w:rPr>
        <w:t>.</w:t>
      </w:r>
    </w:p>
    <w:p w:rsidR="00CC574E" w:rsidRPr="00CC574E" w:rsidRDefault="00CC574E" w:rsidP="00CC574E">
      <w:pPr>
        <w:jc w:val="left"/>
        <w:rPr>
          <w:sz w:val="20"/>
        </w:rPr>
      </w:pPr>
    </w:p>
    <w:p w:rsidR="00CC574E" w:rsidRPr="00CC574E" w:rsidRDefault="00CC574E" w:rsidP="00CC574E">
      <w:pPr>
        <w:jc w:val="left"/>
        <w:rPr>
          <w:sz w:val="20"/>
        </w:rPr>
      </w:pPr>
      <w:r w:rsidRPr="00CC574E">
        <w:rPr>
          <w:sz w:val="20"/>
        </w:rPr>
        <w:t xml:space="preserve">Stone, W.J. 1993.  Hippocastanaceae.  Page 682 IN: </w:t>
      </w:r>
      <w:r w:rsidRPr="00CC574E">
        <w:rPr>
          <w:i/>
          <w:sz w:val="20"/>
        </w:rPr>
        <w:t xml:space="preserve">The Jepson manual: Higher plants of </w:t>
      </w:r>
      <w:smartTag w:uri="urn:schemas-microsoft-com:office:smarttags" w:element="State">
        <w:smartTag w:uri="urn:schemas-microsoft-com:office:smarttags" w:element="place">
          <w:r w:rsidRPr="00CC574E">
            <w:rPr>
              <w:i/>
              <w:sz w:val="20"/>
            </w:rPr>
            <w:t>California</w:t>
          </w:r>
        </w:smartTag>
      </w:smartTag>
      <w:r w:rsidRPr="00CC574E">
        <w:rPr>
          <w:sz w:val="20"/>
        </w:rPr>
        <w:t xml:space="preserve">.  J.C. Hickman (ed.). </w:t>
      </w:r>
      <w:smartTag w:uri="urn:schemas-microsoft-com:office:smarttags" w:element="PlaceType">
        <w:r w:rsidRPr="00CC574E">
          <w:rPr>
            <w:sz w:val="20"/>
          </w:rPr>
          <w:t>University</w:t>
        </w:r>
      </w:smartTag>
      <w:r w:rsidRPr="00CC574E">
        <w:rPr>
          <w:sz w:val="20"/>
        </w:rPr>
        <w:t xml:space="preserve"> of </w:t>
      </w:r>
      <w:smartTag w:uri="urn:schemas-microsoft-com:office:smarttags" w:element="PlaceName">
        <w:r w:rsidRPr="00CC574E">
          <w:rPr>
            <w:sz w:val="20"/>
          </w:rPr>
          <w:t>California</w:t>
        </w:r>
      </w:smartTag>
      <w:r w:rsidRPr="00CC574E">
        <w:rPr>
          <w:sz w:val="20"/>
        </w:rPr>
        <w:t xml:space="preserve"> Press, </w:t>
      </w:r>
      <w:smartTag w:uri="urn:schemas-microsoft-com:office:smarttags" w:element="place">
        <w:smartTag w:uri="urn:schemas-microsoft-com:office:smarttags" w:element="City">
          <w:r w:rsidRPr="00CC574E">
            <w:rPr>
              <w:sz w:val="20"/>
            </w:rPr>
            <w:t>Berkeley</w:t>
          </w:r>
        </w:smartTag>
        <w:r w:rsidRPr="00CC574E">
          <w:rPr>
            <w:sz w:val="20"/>
          </w:rPr>
          <w:t xml:space="preserve">, </w:t>
        </w:r>
        <w:smartTag w:uri="urn:schemas-microsoft-com:office:smarttags" w:element="State">
          <w:r w:rsidRPr="00CC574E">
            <w:rPr>
              <w:sz w:val="20"/>
            </w:rPr>
            <w:t>California</w:t>
          </w:r>
        </w:smartTag>
      </w:smartTag>
      <w:r w:rsidRPr="00CC574E">
        <w:rPr>
          <w:sz w:val="20"/>
        </w:rPr>
        <w:t>.</w:t>
      </w:r>
    </w:p>
    <w:p w:rsidR="00CC574E" w:rsidRPr="00CC574E" w:rsidRDefault="00CC574E" w:rsidP="00CC574E">
      <w:pPr>
        <w:jc w:val="left"/>
        <w:rPr>
          <w:sz w:val="20"/>
        </w:rPr>
      </w:pPr>
    </w:p>
    <w:p w:rsidR="00CC574E" w:rsidRPr="00CC574E" w:rsidRDefault="00CC574E" w:rsidP="00CC574E">
      <w:pPr>
        <w:jc w:val="left"/>
        <w:rPr>
          <w:sz w:val="20"/>
        </w:rPr>
      </w:pPr>
      <w:r w:rsidRPr="00CC574E">
        <w:rPr>
          <w:sz w:val="20"/>
        </w:rPr>
        <w:t xml:space="preserve">USDA, NRCS 2000.  </w:t>
      </w:r>
      <w:r w:rsidRPr="00CC574E">
        <w:rPr>
          <w:i/>
          <w:sz w:val="20"/>
        </w:rPr>
        <w:t>The PLANTS database</w:t>
      </w:r>
      <w:r w:rsidRPr="00CC574E">
        <w:rPr>
          <w:sz w:val="20"/>
        </w:rPr>
        <w:t xml:space="preserve">.  &lt;http://plants.usda.gov&gt;.  001206.  </w:t>
      </w:r>
      <w:smartTag w:uri="urn:schemas-microsoft-com:office:smarttags" w:element="PlaceName">
        <w:r w:rsidRPr="00CC574E">
          <w:rPr>
            <w:sz w:val="20"/>
          </w:rPr>
          <w:t>National</w:t>
        </w:r>
      </w:smartTag>
      <w:r w:rsidRPr="00CC574E">
        <w:rPr>
          <w:sz w:val="20"/>
        </w:rPr>
        <w:t xml:space="preserve"> </w:t>
      </w:r>
      <w:smartTag w:uri="urn:schemas-microsoft-com:office:smarttags" w:element="PlaceName">
        <w:r w:rsidRPr="00CC574E">
          <w:rPr>
            <w:sz w:val="20"/>
          </w:rPr>
          <w:t>Plant</w:t>
        </w:r>
      </w:smartTag>
      <w:r w:rsidRPr="00CC574E">
        <w:rPr>
          <w:sz w:val="20"/>
        </w:rPr>
        <w:t xml:space="preserve"> </w:t>
      </w:r>
      <w:smartTag w:uri="urn:schemas-microsoft-com:office:smarttags" w:element="PlaceName">
        <w:r w:rsidRPr="00CC574E">
          <w:rPr>
            <w:sz w:val="20"/>
          </w:rPr>
          <w:t>Data</w:t>
        </w:r>
      </w:smartTag>
      <w:r w:rsidRPr="00CC574E">
        <w:rPr>
          <w:sz w:val="20"/>
        </w:rPr>
        <w:t xml:space="preserve"> </w:t>
      </w:r>
      <w:smartTag w:uri="urn:schemas-microsoft-com:office:smarttags" w:element="PlaceType">
        <w:r w:rsidRPr="00CC574E">
          <w:rPr>
            <w:sz w:val="20"/>
          </w:rPr>
          <w:t>Center</w:t>
        </w:r>
      </w:smartTag>
      <w:r w:rsidRPr="00CC574E">
        <w:rPr>
          <w:sz w:val="20"/>
        </w:rPr>
        <w:t xml:space="preserve">, </w:t>
      </w:r>
      <w:smartTag w:uri="urn:schemas-microsoft-com:office:smarttags" w:element="place">
        <w:smartTag w:uri="urn:schemas-microsoft-com:office:smarttags" w:element="City">
          <w:r w:rsidRPr="00CC574E">
            <w:rPr>
              <w:sz w:val="20"/>
            </w:rPr>
            <w:t>Baton Rouge</w:t>
          </w:r>
        </w:smartTag>
        <w:r w:rsidRPr="00CC574E">
          <w:rPr>
            <w:sz w:val="20"/>
          </w:rPr>
          <w:t xml:space="preserve">, </w:t>
        </w:r>
        <w:smartTag w:uri="urn:schemas-microsoft-com:office:smarttags" w:element="State">
          <w:r w:rsidRPr="00CC574E">
            <w:rPr>
              <w:sz w:val="20"/>
            </w:rPr>
            <w:t>Louisiana</w:t>
          </w:r>
        </w:smartTag>
      </w:smartTag>
      <w:r w:rsidRPr="00CC574E">
        <w:rPr>
          <w:sz w:val="20"/>
        </w:rPr>
        <w:t>.</w:t>
      </w:r>
    </w:p>
    <w:p w:rsidR="00CC574E" w:rsidRPr="00CC574E" w:rsidRDefault="00CC574E" w:rsidP="00CC574E">
      <w:pPr>
        <w:jc w:val="left"/>
        <w:rPr>
          <w:sz w:val="20"/>
        </w:rPr>
      </w:pPr>
      <w:r w:rsidRPr="00CC574E">
        <w:rPr>
          <w:sz w:val="20"/>
        </w:rPr>
        <w:cr/>
        <w:t xml:space="preserve">Zigmond, M.L. 1981.  </w:t>
      </w:r>
      <w:r w:rsidRPr="00CC574E">
        <w:rPr>
          <w:i/>
          <w:sz w:val="20"/>
        </w:rPr>
        <w:t>Kawaiisu ethnobotany</w:t>
      </w:r>
      <w:r w:rsidRPr="00CC574E">
        <w:rPr>
          <w:sz w:val="20"/>
        </w:rPr>
        <w:t xml:space="preserve">.  </w:t>
      </w:r>
      <w:smartTag w:uri="urn:schemas-microsoft-com:office:smarttags" w:element="PlaceType">
        <w:r w:rsidRPr="00CC574E">
          <w:rPr>
            <w:sz w:val="20"/>
          </w:rPr>
          <w:t>University</w:t>
        </w:r>
      </w:smartTag>
      <w:r w:rsidRPr="00CC574E">
        <w:rPr>
          <w:sz w:val="20"/>
        </w:rPr>
        <w:t xml:space="preserve"> of </w:t>
      </w:r>
      <w:smartTag w:uri="urn:schemas-microsoft-com:office:smarttags" w:element="PlaceName">
        <w:r w:rsidRPr="00CC574E">
          <w:rPr>
            <w:sz w:val="20"/>
          </w:rPr>
          <w:t>Utah</w:t>
        </w:r>
      </w:smartTag>
      <w:r w:rsidRPr="00CC574E">
        <w:rPr>
          <w:sz w:val="20"/>
        </w:rPr>
        <w:t xml:space="preserve"> Press, </w:t>
      </w:r>
      <w:smartTag w:uri="urn:schemas-microsoft-com:office:smarttags" w:element="place">
        <w:smartTag w:uri="urn:schemas-microsoft-com:office:smarttags" w:element="City">
          <w:r w:rsidRPr="00CC574E">
            <w:rPr>
              <w:sz w:val="20"/>
            </w:rPr>
            <w:t>Salt Lake City</w:t>
          </w:r>
        </w:smartTag>
        <w:r w:rsidRPr="00CC574E">
          <w:rPr>
            <w:sz w:val="20"/>
          </w:rPr>
          <w:t xml:space="preserve">, </w:t>
        </w:r>
        <w:smartTag w:uri="urn:schemas-microsoft-com:office:smarttags" w:element="State">
          <w:r w:rsidRPr="00CC574E">
            <w:rPr>
              <w:sz w:val="20"/>
            </w:rPr>
            <w:t>Utah</w:t>
          </w:r>
        </w:smartTag>
      </w:smartTag>
      <w:r w:rsidRPr="00CC574E">
        <w:rPr>
          <w:sz w:val="20"/>
        </w:rPr>
        <w:t>.</w:t>
      </w:r>
    </w:p>
    <w:p w:rsidR="00CC574E" w:rsidRPr="00CC574E" w:rsidRDefault="00CC574E" w:rsidP="00CC574E">
      <w:pPr>
        <w:jc w:val="left"/>
        <w:rPr>
          <w:sz w:val="20"/>
        </w:rPr>
      </w:pPr>
    </w:p>
    <w:p w:rsidR="00CC574E" w:rsidRPr="00CC574E" w:rsidRDefault="00CC574E" w:rsidP="00CC574E">
      <w:pPr>
        <w:pStyle w:val="Heading2"/>
        <w:jc w:val="left"/>
        <w:rPr>
          <w:sz w:val="20"/>
        </w:rPr>
      </w:pPr>
      <w:r w:rsidRPr="00CC574E">
        <w:rPr>
          <w:sz w:val="20"/>
        </w:rPr>
        <w:t>Prepared By and Species Coordinators</w:t>
      </w:r>
    </w:p>
    <w:p w:rsidR="00CC574E" w:rsidRPr="00CC574E" w:rsidRDefault="00CC574E" w:rsidP="00CC574E">
      <w:pPr>
        <w:pStyle w:val="Heading1"/>
        <w:jc w:val="left"/>
        <w:rPr>
          <w:b w:val="0"/>
          <w:i/>
        </w:rPr>
      </w:pPr>
      <w:r w:rsidRPr="00CC574E">
        <w:rPr>
          <w:b w:val="0"/>
          <w:i/>
        </w:rPr>
        <w:t>Kat Anderson</w:t>
      </w:r>
    </w:p>
    <w:p w:rsidR="00CC574E" w:rsidRPr="00CC574E" w:rsidRDefault="00CC574E" w:rsidP="00CC574E">
      <w:pPr>
        <w:jc w:val="left"/>
        <w:rPr>
          <w:sz w:val="20"/>
        </w:rPr>
      </w:pPr>
      <w:smartTag w:uri="urn:schemas-microsoft-com:office:smarttags" w:element="place">
        <w:smartTag w:uri="urn:schemas-microsoft-com:office:smarttags" w:element="PlaceName">
          <w:r w:rsidRPr="00CC574E">
            <w:rPr>
              <w:sz w:val="20"/>
            </w:rPr>
            <w:t>USDA</w:t>
          </w:r>
        </w:smartTag>
        <w:r w:rsidRPr="00CC574E">
          <w:rPr>
            <w:sz w:val="20"/>
          </w:rPr>
          <w:t xml:space="preserve"> </w:t>
        </w:r>
        <w:smartTag w:uri="urn:schemas-microsoft-com:office:smarttags" w:element="PlaceName">
          <w:r w:rsidRPr="00CC574E">
            <w:rPr>
              <w:sz w:val="20"/>
            </w:rPr>
            <w:t>NRCS</w:t>
          </w:r>
        </w:smartTag>
        <w:r w:rsidRPr="00CC574E">
          <w:rPr>
            <w:sz w:val="20"/>
          </w:rPr>
          <w:t xml:space="preserve"> </w:t>
        </w:r>
        <w:smartTag w:uri="urn:schemas-microsoft-com:office:smarttags" w:element="PlaceName">
          <w:r w:rsidRPr="00CC574E">
            <w:rPr>
              <w:sz w:val="20"/>
            </w:rPr>
            <w:t>National</w:t>
          </w:r>
        </w:smartTag>
        <w:r w:rsidRPr="00CC574E">
          <w:rPr>
            <w:sz w:val="20"/>
          </w:rPr>
          <w:t xml:space="preserve"> </w:t>
        </w:r>
        <w:smartTag w:uri="urn:schemas-microsoft-com:office:smarttags" w:element="PlaceName">
          <w:r w:rsidRPr="00CC574E">
            <w:rPr>
              <w:sz w:val="20"/>
            </w:rPr>
            <w:t>Plant</w:t>
          </w:r>
        </w:smartTag>
        <w:r w:rsidRPr="00CC574E">
          <w:rPr>
            <w:sz w:val="20"/>
          </w:rPr>
          <w:t xml:space="preserve"> </w:t>
        </w:r>
        <w:smartTag w:uri="urn:schemas-microsoft-com:office:smarttags" w:element="PlaceName">
          <w:r w:rsidRPr="00CC574E">
            <w:rPr>
              <w:sz w:val="20"/>
            </w:rPr>
            <w:t>Data</w:t>
          </w:r>
        </w:smartTag>
        <w:r w:rsidRPr="00CC574E">
          <w:rPr>
            <w:sz w:val="20"/>
          </w:rPr>
          <w:t xml:space="preserve"> </w:t>
        </w:r>
        <w:smartTag w:uri="urn:schemas-microsoft-com:office:smarttags" w:element="PlaceType">
          <w:r w:rsidRPr="00CC574E">
            <w:rPr>
              <w:sz w:val="20"/>
            </w:rPr>
            <w:t>Center</w:t>
          </w:r>
        </w:smartTag>
      </w:smartTag>
      <w:r w:rsidRPr="00CC574E">
        <w:rPr>
          <w:sz w:val="20"/>
        </w:rPr>
        <w:t>,</w:t>
      </w:r>
    </w:p>
    <w:p w:rsidR="00CC574E" w:rsidRDefault="00CC574E" w:rsidP="00CC574E">
      <w:pPr>
        <w:jc w:val="left"/>
        <w:rPr>
          <w:sz w:val="20"/>
        </w:rPr>
      </w:pPr>
      <w:r w:rsidRPr="00CC574E">
        <w:rPr>
          <w:sz w:val="20"/>
        </w:rPr>
        <w:t xml:space="preserve">c/o/ Plant Science Dept., </w:t>
      </w:r>
      <w:smartTag w:uri="urn:schemas-microsoft-com:office:smarttags" w:element="PlaceType">
        <w:r w:rsidRPr="00CC574E">
          <w:rPr>
            <w:sz w:val="20"/>
          </w:rPr>
          <w:t>University</w:t>
        </w:r>
      </w:smartTag>
      <w:r w:rsidRPr="00CC574E">
        <w:rPr>
          <w:sz w:val="20"/>
        </w:rPr>
        <w:t xml:space="preserve"> of </w:t>
      </w:r>
      <w:smartTag w:uri="urn:schemas-microsoft-com:office:smarttags" w:element="PlaceName">
        <w:r w:rsidRPr="00CC574E">
          <w:rPr>
            <w:sz w:val="20"/>
          </w:rPr>
          <w:t>California</w:t>
        </w:r>
      </w:smartTag>
      <w:r w:rsidRPr="00CC574E">
        <w:rPr>
          <w:sz w:val="20"/>
        </w:rPr>
        <w:t xml:space="preserve">, </w:t>
      </w:r>
      <w:smartTag w:uri="urn:schemas-microsoft-com:office:smarttags" w:element="place">
        <w:smartTag w:uri="urn:schemas-microsoft-com:office:smarttags" w:element="City">
          <w:r w:rsidRPr="00CC574E">
            <w:rPr>
              <w:sz w:val="20"/>
            </w:rPr>
            <w:t>Davis</w:t>
          </w:r>
        </w:smartTag>
        <w:r w:rsidRPr="00CC574E">
          <w:rPr>
            <w:sz w:val="20"/>
          </w:rPr>
          <w:t xml:space="preserve">, </w:t>
        </w:r>
        <w:smartTag w:uri="urn:schemas-microsoft-com:office:smarttags" w:element="State">
          <w:r w:rsidRPr="00CC574E">
            <w:rPr>
              <w:sz w:val="20"/>
            </w:rPr>
            <w:t>California</w:t>
          </w:r>
        </w:smartTag>
      </w:smartTag>
    </w:p>
    <w:p w:rsidR="00CC574E" w:rsidRPr="00CC574E" w:rsidRDefault="00CC574E" w:rsidP="00CC574E">
      <w:pPr>
        <w:jc w:val="left"/>
        <w:rPr>
          <w:sz w:val="20"/>
        </w:rPr>
      </w:pPr>
    </w:p>
    <w:p w:rsidR="00CC574E" w:rsidRPr="00CC574E" w:rsidRDefault="00CC574E" w:rsidP="00CC574E">
      <w:pPr>
        <w:pStyle w:val="Heading1"/>
        <w:jc w:val="left"/>
        <w:rPr>
          <w:b w:val="0"/>
          <w:i/>
        </w:rPr>
      </w:pPr>
      <w:r w:rsidRPr="00CC574E">
        <w:rPr>
          <w:b w:val="0"/>
          <w:i/>
        </w:rPr>
        <w:t>Wayne Roderick</w:t>
      </w:r>
    </w:p>
    <w:p w:rsidR="00CC574E" w:rsidRPr="00CC574E" w:rsidRDefault="00CC574E" w:rsidP="00CC574E">
      <w:pPr>
        <w:jc w:val="left"/>
        <w:rPr>
          <w:sz w:val="20"/>
        </w:rPr>
      </w:pPr>
      <w:r w:rsidRPr="00CC574E">
        <w:rPr>
          <w:sz w:val="20"/>
        </w:rPr>
        <w:t xml:space="preserve">Former Director of the </w:t>
      </w:r>
      <w:smartTag w:uri="urn:schemas-microsoft-com:office:smarttags" w:element="PlaceName">
        <w:r w:rsidRPr="00CC574E">
          <w:rPr>
            <w:sz w:val="20"/>
          </w:rPr>
          <w:t>East</w:t>
        </w:r>
      </w:smartTag>
      <w:r w:rsidRPr="00CC574E">
        <w:rPr>
          <w:sz w:val="20"/>
        </w:rPr>
        <w:t xml:space="preserve"> </w:t>
      </w:r>
      <w:smartTag w:uri="urn:schemas-microsoft-com:office:smarttags" w:element="PlaceType">
        <w:r w:rsidRPr="00CC574E">
          <w:rPr>
            <w:sz w:val="20"/>
          </w:rPr>
          <w:t>Bay</w:t>
        </w:r>
      </w:smartTag>
      <w:r w:rsidRPr="00CC574E">
        <w:rPr>
          <w:sz w:val="20"/>
        </w:rPr>
        <w:t xml:space="preserve"> </w:t>
      </w:r>
      <w:smartTag w:uri="urn:schemas-microsoft-com:office:smarttags" w:element="PlaceName">
        <w:r w:rsidRPr="00CC574E">
          <w:rPr>
            <w:sz w:val="20"/>
          </w:rPr>
          <w:t>Regional</w:t>
        </w:r>
      </w:smartTag>
      <w:r w:rsidRPr="00CC574E">
        <w:rPr>
          <w:sz w:val="20"/>
        </w:rPr>
        <w:t xml:space="preserve"> </w:t>
      </w:r>
      <w:smartTag w:uri="urn:schemas-microsoft-com:office:smarttags" w:element="PlaceType">
        <w:r w:rsidRPr="00CC574E">
          <w:rPr>
            <w:sz w:val="20"/>
          </w:rPr>
          <w:t>Parks</w:t>
        </w:r>
      </w:smartTag>
      <w:r w:rsidRPr="00CC574E">
        <w:rPr>
          <w:sz w:val="20"/>
        </w:rPr>
        <w:t xml:space="preserve"> </w:t>
      </w:r>
      <w:smartTag w:uri="urn:schemas-microsoft-com:office:smarttags" w:element="PlaceType">
        <w:r w:rsidRPr="00CC574E">
          <w:rPr>
            <w:sz w:val="20"/>
          </w:rPr>
          <w:t>Botanic Garden</w:t>
        </w:r>
      </w:smartTag>
      <w:r w:rsidRPr="00CC574E">
        <w:rPr>
          <w:sz w:val="20"/>
        </w:rPr>
        <w:t xml:space="preserve">, </w:t>
      </w:r>
      <w:smartTag w:uri="urn:schemas-microsoft-com:office:smarttags" w:element="place">
        <w:smartTag w:uri="urn:schemas-microsoft-com:office:smarttags" w:element="City">
          <w:r w:rsidRPr="00CC574E">
            <w:rPr>
              <w:sz w:val="20"/>
            </w:rPr>
            <w:t>Berkeley</w:t>
          </w:r>
        </w:smartTag>
        <w:r w:rsidRPr="00CC574E">
          <w:rPr>
            <w:sz w:val="20"/>
          </w:rPr>
          <w:t xml:space="preserve">, </w:t>
        </w:r>
        <w:smartTag w:uri="urn:schemas-microsoft-com:office:smarttags" w:element="State">
          <w:r w:rsidRPr="00CC574E">
            <w:rPr>
              <w:sz w:val="20"/>
            </w:rPr>
            <w:t>California</w:t>
          </w:r>
        </w:smartTag>
      </w:smartTag>
    </w:p>
    <w:p w:rsidR="00CC574E" w:rsidRDefault="00CC574E" w:rsidP="00CC574E"/>
    <w:p w:rsidR="00CC574E" w:rsidRDefault="00CC574E" w:rsidP="00CC574E">
      <w:pPr>
        <w:jc w:val="left"/>
        <w:rPr>
          <w:sz w:val="16"/>
        </w:rPr>
      </w:pPr>
      <w:r>
        <w:rPr>
          <w:sz w:val="16"/>
        </w:rPr>
        <w:t>Edited: 29jun03 jsp; 04jun03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2FA" w:rsidRDefault="00EA72FA">
      <w:r>
        <w:separator/>
      </w:r>
    </w:p>
  </w:endnote>
  <w:endnote w:type="continuationSeparator" w:id="0">
    <w:p w:rsidR="00EA72FA" w:rsidRDefault="00EA72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2FA" w:rsidRDefault="00EA72FA">
      <w:r>
        <w:separator/>
      </w:r>
    </w:p>
  </w:footnote>
  <w:footnote w:type="continuationSeparator" w:id="0">
    <w:p w:rsidR="00EA72FA" w:rsidRDefault="00EA72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3057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65828"/>
    <w:rsid w:val="001B6C75"/>
    <w:rsid w:val="001C4209"/>
    <w:rsid w:val="001D6A53"/>
    <w:rsid w:val="001F7210"/>
    <w:rsid w:val="002148DF"/>
    <w:rsid w:val="00222F37"/>
    <w:rsid w:val="002375B8"/>
    <w:rsid w:val="00256A81"/>
    <w:rsid w:val="0026727E"/>
    <w:rsid w:val="002B74D7"/>
    <w:rsid w:val="002C45BA"/>
    <w:rsid w:val="002E226C"/>
    <w:rsid w:val="00330572"/>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45E0A"/>
    <w:rsid w:val="00592CFA"/>
    <w:rsid w:val="005A2740"/>
    <w:rsid w:val="005F57D8"/>
    <w:rsid w:val="0061608E"/>
    <w:rsid w:val="006333FE"/>
    <w:rsid w:val="006B4B3E"/>
    <w:rsid w:val="00712AC4"/>
    <w:rsid w:val="007A3680"/>
    <w:rsid w:val="007F3743"/>
    <w:rsid w:val="0089154B"/>
    <w:rsid w:val="008B3C33"/>
    <w:rsid w:val="008E6018"/>
    <w:rsid w:val="008F3D5A"/>
    <w:rsid w:val="00982214"/>
    <w:rsid w:val="00993F76"/>
    <w:rsid w:val="00A06FE6"/>
    <w:rsid w:val="00A12175"/>
    <w:rsid w:val="00A523F4"/>
    <w:rsid w:val="00A8423D"/>
    <w:rsid w:val="00AC71B6"/>
    <w:rsid w:val="00AD30BE"/>
    <w:rsid w:val="00B630BC"/>
    <w:rsid w:val="00B755F2"/>
    <w:rsid w:val="00B841F9"/>
    <w:rsid w:val="00B8425D"/>
    <w:rsid w:val="00BC24FE"/>
    <w:rsid w:val="00BD616F"/>
    <w:rsid w:val="00BE5356"/>
    <w:rsid w:val="00BF44A8"/>
    <w:rsid w:val="00C2530F"/>
    <w:rsid w:val="00C71B7B"/>
    <w:rsid w:val="00C81773"/>
    <w:rsid w:val="00CC574E"/>
    <w:rsid w:val="00CD17F8"/>
    <w:rsid w:val="00CD49CC"/>
    <w:rsid w:val="00CF06F8"/>
    <w:rsid w:val="00CF7EC1"/>
    <w:rsid w:val="00D62818"/>
    <w:rsid w:val="00DD41E3"/>
    <w:rsid w:val="00DF6843"/>
    <w:rsid w:val="00E2020F"/>
    <w:rsid w:val="00E4389B"/>
    <w:rsid w:val="00E54F64"/>
    <w:rsid w:val="00E93233"/>
    <w:rsid w:val="00EA72FA"/>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CALIFORNIA BUCKEYE</vt:lpstr>
    </vt:vector>
  </TitlesOfParts>
  <Company>USDA NRCS National Plant Data Center</Company>
  <LinksUpToDate>false</LinksUpToDate>
  <CharactersWithSpaces>7299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BUCKEYE</dc:title>
  <dc:subject>Aesculus californica (Spach) Nutt.</dc:subject>
  <dc:creator>William Farrell</dc:creator>
  <cp:keywords/>
  <cp:lastModifiedBy>William Farrell</cp:lastModifiedBy>
  <cp:revision>2</cp:revision>
  <cp:lastPrinted>2003-06-09T21:39:00Z</cp:lastPrinted>
  <dcterms:created xsi:type="dcterms:W3CDTF">2011-01-25T18:07:00Z</dcterms:created>
  <dcterms:modified xsi:type="dcterms:W3CDTF">2011-01-25T18:07:00Z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