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494C00">
              <w:rPr>
                <w:i/>
              </w:rPr>
              <w:t>simplicifolia</w:t>
            </w:r>
            <w:r w:rsidR="00B170AF" w:rsidRPr="00B170AF">
              <w:t xml:space="preserve"> (Greene) </w:t>
            </w:r>
            <w:r w:rsidR="0065148B">
              <w:t>Barkl.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r w:rsidR="00C643D5">
              <w:t>S</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AE43C4"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E13" w:rsidRDefault="00816E13">
      <w:r>
        <w:separator/>
      </w:r>
    </w:p>
  </w:endnote>
  <w:endnote w:type="continuationSeparator" w:id="0">
    <w:p w:rsidR="00816E13" w:rsidRDefault="00816E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E13" w:rsidRDefault="00816E13">
      <w:r>
        <w:separator/>
      </w:r>
    </w:p>
  </w:footnote>
  <w:footnote w:type="continuationSeparator" w:id="0">
    <w:p w:rsidR="00816E13" w:rsidRDefault="00816E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E43C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056F"/>
    <w:rsid w:val="000F1970"/>
    <w:rsid w:val="001478F1"/>
    <w:rsid w:val="00183135"/>
    <w:rsid w:val="001B6C75"/>
    <w:rsid w:val="001C4209"/>
    <w:rsid w:val="001D6A53"/>
    <w:rsid w:val="001E6B41"/>
    <w:rsid w:val="001F7210"/>
    <w:rsid w:val="002148DF"/>
    <w:rsid w:val="00222F37"/>
    <w:rsid w:val="002375B8"/>
    <w:rsid w:val="0026727E"/>
    <w:rsid w:val="002C45BA"/>
    <w:rsid w:val="002D5AAE"/>
    <w:rsid w:val="00303F61"/>
    <w:rsid w:val="0036701D"/>
    <w:rsid w:val="003749B3"/>
    <w:rsid w:val="00377934"/>
    <w:rsid w:val="00395D33"/>
    <w:rsid w:val="003E4863"/>
    <w:rsid w:val="004032F8"/>
    <w:rsid w:val="004052E3"/>
    <w:rsid w:val="00416D52"/>
    <w:rsid w:val="004340C9"/>
    <w:rsid w:val="004364E5"/>
    <w:rsid w:val="00437F11"/>
    <w:rsid w:val="0044082F"/>
    <w:rsid w:val="004500D1"/>
    <w:rsid w:val="0048212B"/>
    <w:rsid w:val="00485D14"/>
    <w:rsid w:val="004911C7"/>
    <w:rsid w:val="00494C00"/>
    <w:rsid w:val="00497092"/>
    <w:rsid w:val="004A50AC"/>
    <w:rsid w:val="004E2BD6"/>
    <w:rsid w:val="004F75FB"/>
    <w:rsid w:val="00520FAC"/>
    <w:rsid w:val="00545F89"/>
    <w:rsid w:val="00592CFA"/>
    <w:rsid w:val="005A2740"/>
    <w:rsid w:val="005E45C3"/>
    <w:rsid w:val="005F57D8"/>
    <w:rsid w:val="0061608E"/>
    <w:rsid w:val="006333FE"/>
    <w:rsid w:val="0064486F"/>
    <w:rsid w:val="0065148B"/>
    <w:rsid w:val="00660D73"/>
    <w:rsid w:val="006676F6"/>
    <w:rsid w:val="006B3656"/>
    <w:rsid w:val="006B4B3E"/>
    <w:rsid w:val="00712AC4"/>
    <w:rsid w:val="007A3680"/>
    <w:rsid w:val="007F3743"/>
    <w:rsid w:val="00816E13"/>
    <w:rsid w:val="008233CB"/>
    <w:rsid w:val="00830F95"/>
    <w:rsid w:val="0088325A"/>
    <w:rsid w:val="0089154B"/>
    <w:rsid w:val="008B3C33"/>
    <w:rsid w:val="008E6018"/>
    <w:rsid w:val="008F3D5A"/>
    <w:rsid w:val="008F52D9"/>
    <w:rsid w:val="008F6154"/>
    <w:rsid w:val="00902C00"/>
    <w:rsid w:val="0090312B"/>
    <w:rsid w:val="00953611"/>
    <w:rsid w:val="00982214"/>
    <w:rsid w:val="009F0497"/>
    <w:rsid w:val="00A06FE6"/>
    <w:rsid w:val="00A12175"/>
    <w:rsid w:val="00A811B9"/>
    <w:rsid w:val="00A8423D"/>
    <w:rsid w:val="00AB0F7A"/>
    <w:rsid w:val="00AD30BE"/>
    <w:rsid w:val="00AE43C4"/>
    <w:rsid w:val="00B170AF"/>
    <w:rsid w:val="00B755F2"/>
    <w:rsid w:val="00B76A82"/>
    <w:rsid w:val="00B841F9"/>
    <w:rsid w:val="00B8425D"/>
    <w:rsid w:val="00BA0E82"/>
    <w:rsid w:val="00BD616F"/>
    <w:rsid w:val="00BE5356"/>
    <w:rsid w:val="00BE7E07"/>
    <w:rsid w:val="00BF44A8"/>
    <w:rsid w:val="00C643D5"/>
    <w:rsid w:val="00C71B7B"/>
    <w:rsid w:val="00C81773"/>
    <w:rsid w:val="00C86A9A"/>
    <w:rsid w:val="00C95C6F"/>
    <w:rsid w:val="00CC0A51"/>
    <w:rsid w:val="00CD49CC"/>
    <w:rsid w:val="00CE4BE9"/>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9605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simplicifolia (Greene) Barkl.</dc:subject>
  <dc:creator>J. Scott Peterson</dc:creator>
  <cp:keywords/>
  <cp:lastModifiedBy>William Farrell</cp:lastModifiedBy>
  <cp:revision>2</cp:revision>
  <cp:lastPrinted>2003-06-09T21:39:00Z</cp:lastPrinted>
  <dcterms:created xsi:type="dcterms:W3CDTF">2011-01-25T19:18:00Z</dcterms:created>
  <dcterms:modified xsi:type="dcterms:W3CDTF">2011-01-25T19:18:00Z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