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752EFE" w:rsidP="000578C2">
            <w:pPr>
              <w:pStyle w:val="TitleHeader"/>
              <w:rPr>
                <w:i/>
              </w:rPr>
            </w:pPr>
            <w:r>
              <w:lastRenderedPageBreak/>
              <w:t>sassafras</w:t>
            </w:r>
          </w:p>
        </w:tc>
      </w:tr>
      <w:tr w:rsidR="00CD49CC">
        <w:tblPrEx>
          <w:tblCellMar>
            <w:top w:w="0" w:type="dxa"/>
            <w:bottom w:w="0" w:type="dxa"/>
          </w:tblCellMar>
        </w:tblPrEx>
        <w:tc>
          <w:tcPr>
            <w:tcW w:w="4410" w:type="dxa"/>
          </w:tcPr>
          <w:p w:rsidR="00CD49CC" w:rsidRPr="00C95C6F" w:rsidRDefault="00752EFE" w:rsidP="008F6154">
            <w:pPr>
              <w:pStyle w:val="Titlesubheader1"/>
            </w:pPr>
            <w:r>
              <w:rPr>
                <w:i/>
              </w:rPr>
              <w:t>Sassafras albidum</w:t>
            </w:r>
            <w:r w:rsidR="000F1970" w:rsidRPr="008F3D5A">
              <w:t xml:space="preserve"> </w:t>
            </w:r>
            <w:r>
              <w:t>(Nutt.) Nees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52EFE">
              <w:t>SAAL5</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752EFE">
            <w:t>USDA</w:t>
          </w:r>
        </w:smartTag>
        <w:r w:rsidR="00752EFE">
          <w:t xml:space="preserve"> </w:t>
        </w:r>
        <w:smartTag w:uri="urn:schemas-microsoft-com:office:smarttags" w:element="PlaceName">
          <w:r w:rsidR="00752EFE">
            <w:t>NRCS</w:t>
          </w:r>
        </w:smartTag>
        <w:r w:rsidR="00752EFE">
          <w:t xml:space="preserve"> </w:t>
        </w:r>
        <w:smartTag w:uri="urn:schemas-microsoft-com:office:smarttags" w:element="PlaceName">
          <w:r w:rsidR="00752EFE">
            <w:t>National</w:t>
          </w:r>
        </w:smartTag>
        <w:r w:rsidR="00752EFE">
          <w:t xml:space="preserve"> </w:t>
        </w:r>
        <w:smartTag w:uri="urn:schemas-microsoft-com:office:smarttags" w:element="PlaceName">
          <w:r w:rsidR="00752EFE">
            <w:t>Plant</w:t>
          </w:r>
        </w:smartTag>
        <w:r w:rsidR="00752EFE">
          <w:t xml:space="preserve"> </w:t>
        </w:r>
        <w:smartTag w:uri="urn:schemas-microsoft-com:office:smarttags" w:element="PlaceName">
          <w:r w:rsidR="00752EFE">
            <w:t>Data</w:t>
          </w:r>
        </w:smartTag>
        <w:r w:rsidR="00752EFE">
          <w:t xml:space="preserve"> </w:t>
        </w:r>
        <w:smartTag w:uri="urn:schemas-microsoft-com:office:smarttags" w:element="PlaceType">
          <w:r w:rsidR="00752EFE">
            <w:t>Center</w:t>
          </w:r>
        </w:smartTag>
      </w:smartTag>
    </w:p>
    <w:p w:rsidR="00183135" w:rsidRDefault="00752EFE" w:rsidP="00752EFE">
      <w:pPr>
        <w:pStyle w:val="Heading3"/>
        <w:ind w:left="0" w:right="0"/>
        <w:jc w:val="left"/>
      </w:pPr>
      <w:r w:rsidRPr="00752EFE">
        <w:rPr>
          <w:noProof/>
        </w:rPr>
        <w:pict>
          <v:shapetype id="_x0000_t202" coordsize="21600,21600" o:spt="202" path="m,l,21600r21600,l21600,xe">
            <v:stroke joinstyle="miter"/>
            <v:path gradientshapeok="t" o:connecttype="rect"/>
          </v:shapetype>
          <v:shape id="_x0000_s1064" type="#_x0000_t202" style="position:absolute;margin-left:4.05pt;margin-top:7.65pt;width:208.65pt;height:156.8pt;z-index:251657728" stroked="f">
            <v:textbox style="mso-next-textbox:#_x0000_s1064">
              <w:txbxContent>
                <w:p w:rsidR="00752EFE" w:rsidRDefault="00CD7CA3" w:rsidP="00752EFE">
                  <w:pPr>
                    <w:jc w:val="right"/>
                    <w:rPr>
                      <w:sz w:val="16"/>
                    </w:rPr>
                  </w:pPr>
                  <w:r>
                    <w:rPr>
                      <w:noProof/>
                      <w:sz w:val="16"/>
                    </w:rPr>
                    <w:drawing>
                      <wp:inline distT="0" distB="0" distL="0" distR="0">
                        <wp:extent cx="2466975" cy="1638300"/>
                        <wp:effectExtent l="19050" t="0" r="9525" b="0"/>
                        <wp:docPr id="1" name="Picture 1" descr="Image of Sassafras (Sassafras albid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Sassafras (Sassafras albidum)"/>
                                <pic:cNvPicPr>
                                  <a:picLocks noChangeAspect="1" noChangeArrowheads="1"/>
                                </pic:cNvPicPr>
                              </pic:nvPicPr>
                              <pic:blipFill>
                                <a:blip r:embed="rId8"/>
                                <a:srcRect/>
                                <a:stretch>
                                  <a:fillRect/>
                                </a:stretch>
                              </pic:blipFill>
                              <pic:spPr bwMode="auto">
                                <a:xfrm>
                                  <a:off x="0" y="0"/>
                                  <a:ext cx="2466975" cy="1638300"/>
                                </a:xfrm>
                                <a:prstGeom prst="rect">
                                  <a:avLst/>
                                </a:prstGeom>
                                <a:noFill/>
                                <a:ln w="9525">
                                  <a:noFill/>
                                  <a:miter lim="800000"/>
                                  <a:headEnd/>
                                  <a:tailEnd/>
                                </a:ln>
                              </pic:spPr>
                            </pic:pic>
                          </a:graphicData>
                        </a:graphic>
                      </wp:inline>
                    </w:drawing>
                  </w:r>
                  <w:r w:rsidR="00752EFE">
                    <w:rPr>
                      <w:sz w:val="16"/>
                    </w:rPr>
                    <w:t>© William S. Justice</w:t>
                  </w:r>
                </w:p>
                <w:p w:rsidR="00752EFE" w:rsidRDefault="00752EFE" w:rsidP="00752EFE">
                  <w:pPr>
                    <w:jc w:val="right"/>
                    <w:rPr>
                      <w:sz w:val="16"/>
                    </w:rPr>
                  </w:pPr>
                  <w:r>
                    <w:rPr>
                      <w:sz w:val="16"/>
                    </w:rPr>
                    <w:t>@ PLANTS</w:t>
                  </w:r>
                </w:p>
              </w:txbxContent>
            </v:textbox>
            <w10:wrap type="topAndBottom"/>
          </v:shape>
        </w:pict>
      </w:r>
    </w:p>
    <w:p w:rsidR="00752EFE" w:rsidRPr="00752EFE" w:rsidRDefault="00752EFE" w:rsidP="00752EFE">
      <w:pPr>
        <w:pStyle w:val="Heading3"/>
        <w:ind w:left="0" w:right="0"/>
        <w:jc w:val="left"/>
        <w:rPr>
          <w:color w:val="auto"/>
        </w:rPr>
      </w:pPr>
      <w:r w:rsidRPr="00752EFE">
        <w:rPr>
          <w:color w:val="auto"/>
        </w:rPr>
        <w:t>Alternate Names</w:t>
      </w:r>
    </w:p>
    <w:p w:rsidR="00752EFE" w:rsidRPr="00752EFE" w:rsidRDefault="00752EFE" w:rsidP="00752EFE">
      <w:pPr>
        <w:pStyle w:val="Footer"/>
        <w:tabs>
          <w:tab w:val="clear" w:pos="4320"/>
          <w:tab w:val="clear" w:pos="8640"/>
        </w:tabs>
        <w:jc w:val="left"/>
        <w:rPr>
          <w:sz w:val="20"/>
        </w:rPr>
      </w:pPr>
      <w:r w:rsidRPr="00752EFE">
        <w:rPr>
          <w:sz w:val="20"/>
        </w:rPr>
        <w:t>Common sassafras, ague tree</w:t>
      </w:r>
    </w:p>
    <w:p w:rsidR="00752EFE" w:rsidRPr="00752EFE" w:rsidRDefault="00752EFE" w:rsidP="00752EFE">
      <w:pPr>
        <w:jc w:val="left"/>
        <w:rPr>
          <w:sz w:val="20"/>
        </w:rPr>
      </w:pPr>
    </w:p>
    <w:p w:rsidR="00752EFE" w:rsidRPr="00752EFE" w:rsidRDefault="00752EFE" w:rsidP="00752EFE">
      <w:pPr>
        <w:pStyle w:val="Heading3"/>
        <w:ind w:left="0" w:right="0"/>
        <w:jc w:val="left"/>
        <w:rPr>
          <w:color w:val="auto"/>
        </w:rPr>
      </w:pPr>
      <w:r w:rsidRPr="00752EFE">
        <w:rPr>
          <w:color w:val="auto"/>
        </w:rPr>
        <w:t>Uses</w:t>
      </w:r>
    </w:p>
    <w:p w:rsidR="00752EFE" w:rsidRPr="00752EFE" w:rsidRDefault="00752EFE" w:rsidP="00752EFE">
      <w:pPr>
        <w:jc w:val="left"/>
        <w:rPr>
          <w:sz w:val="20"/>
        </w:rPr>
      </w:pPr>
      <w:r w:rsidRPr="00752EFE">
        <w:rPr>
          <w:i/>
          <w:sz w:val="20"/>
        </w:rPr>
        <w:t>Ethnobotanic</w:t>
      </w:r>
      <w:r w:rsidRPr="00752EFE">
        <w:rPr>
          <w:sz w:val="20"/>
        </w:rPr>
        <w:t xml:space="preserve">: All parts of the sassafras plant are spicy and aromatic.  The roots, bark, leaves, new shoots, and pith from the branches of sassafras were used extensively for a wide variety of purposes by may Native American tribes including the Cherokee, Chippewa, Choctaw, Creek, Delaware, Oklahoma, Houma, Iroquois, Koasati, Mohegan, Nanticoke, Rappahannock, and Seminole.  The medicinal uses of sassafras by Native Americans were many.  Infusions made from the bark of the roots were taken internally as a preventive to ward off fever, as well as a remedy to treat diarrhea, rheumatism, measles, and scarlet fever.  An infusion of the roots was used as a blood purifier, and as a dietary aid to treat “overfattness.”  Infusions of the plant were used as a cough medicine, mouthwash, and gargle for colds.  Root infusions were also used to treat fevers that occurred in women after giving birth and as a wash for eyesores.  Decoctions made from roots were used to treat heart troubles.  An infusion of the plant was mixed with whiskey and used for rheumatism, tapeworms, and as a blood remedy to purify the blood.  The leaves were made into a poultice that would be rubbed onto bee stings, wounds, cuts, sprained ankles, and bruises.  Nosebleeds were treated with a decoction made from </w:t>
      </w:r>
      <w:r w:rsidRPr="00752EFE">
        <w:rPr>
          <w:sz w:val="20"/>
        </w:rPr>
        <w:lastRenderedPageBreak/>
        <w:t xml:space="preserve">the pith of new sprouts.  The pith from branches was made into a decoction used to wash and dress burns.  Infusions of the plant were used to treat lower chest pain, nausea, vomiting, indigestion, constipation and diarrhea.  The bark was used as an emetic purification after funeral ceremonies.  Bark infusions were given to babies and children to treat itching, enlarged eyes, fever, drooling, and loss of appetite.  Children with worms drank and were bathed in an infusion that included the bark of sassafras.  The plant was taken to treat gallstones and bladder pain.  In addition to this variety of medicinal uses, sassafras was used for food, construction and other purposes.  The leaves were used fresh as a spice, much like bay leaves, for flavoring in meat soups. Leaves were dried and pounded and used as a thickening agent and to add flavor to foods and soups.  “Filé”, made from the ground roots or leaves, is an important spice used today in Cajun foods, such as gumbo.  The white or red roots, made a pleasant-tasting tea, although the red roots were preferred.  The wood from the sassafras tree was used to make furniture.  The flowers were used as a fertilizer when planting beans.  The plant was used as a fragrance to scent soap. The bark contains oil of sassafras, an important flavoring.  </w:t>
      </w:r>
    </w:p>
    <w:p w:rsidR="00752EFE" w:rsidRPr="00752EFE" w:rsidRDefault="00752EFE" w:rsidP="00752EFE">
      <w:pPr>
        <w:jc w:val="left"/>
        <w:rPr>
          <w:sz w:val="20"/>
        </w:rPr>
      </w:pPr>
    </w:p>
    <w:p w:rsidR="00752EFE" w:rsidRPr="00752EFE" w:rsidRDefault="00752EFE" w:rsidP="00752EFE">
      <w:pPr>
        <w:jc w:val="left"/>
        <w:rPr>
          <w:sz w:val="20"/>
        </w:rPr>
      </w:pPr>
      <w:r w:rsidRPr="00752EFE">
        <w:rPr>
          <w:i/>
          <w:sz w:val="20"/>
        </w:rPr>
        <w:t>Wildlife</w:t>
      </w:r>
      <w:r w:rsidRPr="00752EFE">
        <w:rPr>
          <w:sz w:val="20"/>
        </w:rPr>
        <w:t>: The fruits are readily eaten by wildlife.  Birds, such as quails, wild turkeys, kingbirds, crested flycatchers, mockingbirds, sapsuckers, pileated woodpeckers, yellowthroat warblers and phoebes eat the fruits and disperse the seeds.  Black bears, beaver, rabbits and squirrels eat the fruit, bark and wood.  White-tailed deer browse the twigs and foliage.</w:t>
      </w:r>
    </w:p>
    <w:p w:rsidR="00752EFE" w:rsidRPr="00752EFE" w:rsidRDefault="00752EFE" w:rsidP="00752EFE">
      <w:pPr>
        <w:jc w:val="left"/>
        <w:rPr>
          <w:sz w:val="20"/>
        </w:rPr>
      </w:pPr>
    </w:p>
    <w:p w:rsidR="00752EFE" w:rsidRPr="00752EFE" w:rsidRDefault="00752EFE" w:rsidP="00752EFE">
      <w:pPr>
        <w:jc w:val="left"/>
        <w:rPr>
          <w:sz w:val="20"/>
        </w:rPr>
      </w:pPr>
      <w:r w:rsidRPr="00752EFE">
        <w:rPr>
          <w:i/>
          <w:sz w:val="20"/>
        </w:rPr>
        <w:t>Other:</w:t>
      </w:r>
      <w:r w:rsidRPr="00752EFE">
        <w:rPr>
          <w:sz w:val="20"/>
        </w:rPr>
        <w:t xml:space="preserve"> Sassafras has been cultivated since 1630 for its leaves, bark, and wood.  The plants are used for tea, oil, and soap.  The heartwood is orange-brown and course-grained.  It is used for purposes requiring lightwood, such as boat construction, because it is soft but durable. </w:t>
      </w:r>
    </w:p>
    <w:p w:rsidR="00752EFE" w:rsidRPr="00752EFE" w:rsidRDefault="00752EFE" w:rsidP="00752EFE">
      <w:pPr>
        <w:pStyle w:val="PlainText"/>
        <w:rPr>
          <w:rFonts w:ascii="Times New Roman" w:hAnsi="Times New Roman"/>
        </w:rPr>
      </w:pPr>
    </w:p>
    <w:p w:rsidR="00752EFE" w:rsidRPr="00752EFE" w:rsidRDefault="00752EFE" w:rsidP="00752EFE">
      <w:pPr>
        <w:pStyle w:val="Heading3"/>
        <w:ind w:left="0" w:right="0"/>
        <w:jc w:val="left"/>
        <w:rPr>
          <w:color w:val="auto"/>
        </w:rPr>
      </w:pPr>
      <w:r w:rsidRPr="00752EFE">
        <w:rPr>
          <w:color w:val="auto"/>
        </w:rPr>
        <w:t>Status</w:t>
      </w:r>
    </w:p>
    <w:p w:rsidR="00752EFE" w:rsidRPr="00752EFE" w:rsidRDefault="00752EFE" w:rsidP="00752EFE">
      <w:pPr>
        <w:pStyle w:val="BodyTextIndent"/>
        <w:ind w:left="0"/>
        <w:jc w:val="left"/>
      </w:pPr>
      <w:r w:rsidRPr="00752EFE">
        <w:t>Please consult the PLANTS Web site and your State Department of Natural Resources for this plant’s current status (e.g. threatened or endangered species, state noxious status, and wetland indicator values).</w:t>
      </w:r>
    </w:p>
    <w:p w:rsidR="00752EFE" w:rsidRPr="00752EFE" w:rsidRDefault="00752EFE" w:rsidP="00752EFE">
      <w:pPr>
        <w:pStyle w:val="PlainText"/>
        <w:rPr>
          <w:rFonts w:ascii="Times New Roman" w:hAnsi="Times New Roman"/>
        </w:rPr>
      </w:pPr>
    </w:p>
    <w:p w:rsidR="00752EFE" w:rsidRPr="00752EFE" w:rsidRDefault="00752EFE" w:rsidP="00752EFE">
      <w:pPr>
        <w:pStyle w:val="Heading3"/>
        <w:ind w:left="0" w:right="0"/>
        <w:jc w:val="left"/>
        <w:rPr>
          <w:color w:val="auto"/>
        </w:rPr>
      </w:pPr>
      <w:r w:rsidRPr="00752EFE">
        <w:rPr>
          <w:color w:val="auto"/>
        </w:rPr>
        <w:t>Description</w:t>
      </w:r>
    </w:p>
    <w:p w:rsidR="00752EFE" w:rsidRPr="00752EFE" w:rsidRDefault="00752EFE" w:rsidP="00752EFE">
      <w:pPr>
        <w:jc w:val="left"/>
        <w:rPr>
          <w:sz w:val="20"/>
        </w:rPr>
      </w:pPr>
      <w:r w:rsidRPr="00752EFE">
        <w:rPr>
          <w:i/>
          <w:sz w:val="20"/>
        </w:rPr>
        <w:t>General</w:t>
      </w:r>
      <w:r w:rsidRPr="00752EFE">
        <w:rPr>
          <w:sz w:val="20"/>
        </w:rPr>
        <w:t xml:space="preserve">: Laurel Family (Lauraceae).  Sassafras is a native, perennial, deciduous shrub or tree.  The trees are short to medium-tall (9 to 18 m), and spread from 6 to 8 m.  Young trees have greenish bark.  Older </w:t>
      </w:r>
      <w:r w:rsidRPr="00752EFE">
        <w:rPr>
          <w:sz w:val="20"/>
        </w:rPr>
        <w:lastRenderedPageBreak/>
        <w:t>trees have reddish brown bark that is rough, thick, and deeply ridged.  The leaves are alternate and variable in shape with either none or one to three lobes at the apex.  The two-lobed leaves are mitten-shaped.  The leaves are light, bright green during the summer and turn to bright yellow-orange and red-orange in the fall.  The trees are dioecious (a tree will have either male or female flowers) with fragrant flowers.  The female flowers (1cm across), borne on small, terminal clusters before the leaves, are without petals, but have six greenish-yellow sepals (3 to 5 mm long).  Male flowers are inconspicuous.  The female trees have small, oval fruits (6 to 10 mm) that are dark blue with thick, red stalks.  The leaf buds appear at the same time the tree flowers in early spring.  The fruits ripen in the fall.</w:t>
      </w:r>
    </w:p>
    <w:p w:rsidR="00752EFE" w:rsidRPr="00752EFE" w:rsidRDefault="00752EFE" w:rsidP="00752EFE">
      <w:pPr>
        <w:pStyle w:val="Footer"/>
        <w:tabs>
          <w:tab w:val="clear" w:pos="4320"/>
          <w:tab w:val="clear" w:pos="8640"/>
        </w:tabs>
        <w:jc w:val="left"/>
        <w:rPr>
          <w:sz w:val="20"/>
        </w:rPr>
      </w:pPr>
    </w:p>
    <w:p w:rsidR="00752EFE" w:rsidRPr="00752EFE" w:rsidRDefault="00752EFE" w:rsidP="00752EFE">
      <w:pPr>
        <w:jc w:val="left"/>
        <w:rPr>
          <w:sz w:val="20"/>
        </w:rPr>
      </w:pPr>
      <w:r w:rsidRPr="00752EFE">
        <w:rPr>
          <w:i/>
          <w:sz w:val="20"/>
        </w:rPr>
        <w:t>Distribution</w:t>
      </w:r>
      <w:r w:rsidRPr="00752EFE">
        <w:rPr>
          <w:sz w:val="20"/>
        </w:rPr>
        <w:t xml:space="preserve">: Sassafras is native to the eastern </w:t>
      </w:r>
      <w:smartTag w:uri="urn:schemas-microsoft-com:office:smarttags" w:element="country-region">
        <w:smartTag w:uri="urn:schemas-microsoft-com:office:smarttags" w:element="place">
          <w:r w:rsidRPr="00752EFE">
            <w:rPr>
              <w:sz w:val="20"/>
            </w:rPr>
            <w:t>United States</w:t>
          </w:r>
        </w:smartTag>
      </w:smartTag>
      <w:r w:rsidRPr="00752EFE">
        <w:rPr>
          <w:sz w:val="20"/>
        </w:rPr>
        <w:t xml:space="preserve">.  For current distribution, please consult the Plant Profile page for this species on the PLANTS Web site. </w:t>
      </w:r>
    </w:p>
    <w:p w:rsidR="00752EFE" w:rsidRPr="00752EFE" w:rsidRDefault="00752EFE" w:rsidP="00752EFE">
      <w:pPr>
        <w:jc w:val="left"/>
        <w:rPr>
          <w:sz w:val="20"/>
        </w:rPr>
      </w:pPr>
    </w:p>
    <w:p w:rsidR="00752EFE" w:rsidRPr="00752EFE" w:rsidRDefault="00752EFE" w:rsidP="00752EFE">
      <w:pPr>
        <w:pStyle w:val="PlainText"/>
        <w:rPr>
          <w:rFonts w:ascii="Times New Roman" w:hAnsi="Times New Roman"/>
        </w:rPr>
      </w:pPr>
      <w:r w:rsidRPr="00752EFE">
        <w:rPr>
          <w:rFonts w:ascii="Times New Roman" w:hAnsi="Times New Roman"/>
          <w:i/>
        </w:rPr>
        <w:t>Habitat</w:t>
      </w:r>
      <w:r w:rsidRPr="00752EFE">
        <w:rPr>
          <w:rFonts w:ascii="Times New Roman" w:hAnsi="Times New Roman"/>
        </w:rPr>
        <w:t>: This plant is a pioneer tree on disturbed sites in its native range.  It is adapted to various soils with low pH.  It can be found in woodlands, fields and along roadsides.</w:t>
      </w:r>
    </w:p>
    <w:p w:rsidR="00752EFE" w:rsidRPr="00752EFE" w:rsidRDefault="00752EFE" w:rsidP="00752EFE">
      <w:pPr>
        <w:jc w:val="left"/>
        <w:rPr>
          <w:sz w:val="20"/>
        </w:rPr>
      </w:pPr>
    </w:p>
    <w:p w:rsidR="00752EFE" w:rsidRPr="00752EFE" w:rsidRDefault="00752EFE" w:rsidP="00752EFE">
      <w:pPr>
        <w:pStyle w:val="Heading3"/>
        <w:ind w:left="0" w:right="0"/>
        <w:jc w:val="left"/>
        <w:rPr>
          <w:color w:val="auto"/>
        </w:rPr>
      </w:pPr>
      <w:r w:rsidRPr="00752EFE">
        <w:rPr>
          <w:color w:val="auto"/>
        </w:rPr>
        <w:t>Establishment</w:t>
      </w:r>
    </w:p>
    <w:p w:rsidR="00752EFE" w:rsidRPr="00752EFE" w:rsidRDefault="00752EFE" w:rsidP="00752EFE">
      <w:pPr>
        <w:jc w:val="left"/>
        <w:rPr>
          <w:sz w:val="20"/>
        </w:rPr>
      </w:pPr>
      <w:r w:rsidRPr="00752EFE">
        <w:rPr>
          <w:sz w:val="20"/>
        </w:rPr>
        <w:t>Sassafras trees are valued for their fragrant spring bloom, interesting horizontal branching pattern, and striking fall color.  The small trees are medium to fast growing and work well for landscape use as specimen trees and mass plantings.  They are easy to culture and require little care.  Although adapted to dry, sandy soils, they do best in moist, fertile soils in partial to full shade.  Seeds, root-cuttings or suckers may propagate sassafras trees.  Seeds are produced every one or two years after the plant reaches the minimum seed-bearing age of ten years.  Seeds may be gathered when the fruits turn a dark blue.  Seeds should be cleaned and stored at cool temperatures where they will last for up to two years.  The seeds require prechilling for 120 days in order to germinate.  Sow the seeds .5 to 1.5 cm deep in prepared beds in the late fall.  The plants do not transplant well because of a deep taproot.  It is therefore best to purchase young plants that have been grown in containers for successful transplanting.</w:t>
      </w:r>
    </w:p>
    <w:p w:rsidR="00752EFE" w:rsidRPr="00752EFE" w:rsidRDefault="00752EFE" w:rsidP="00752EFE">
      <w:pPr>
        <w:pStyle w:val="Footer"/>
        <w:tabs>
          <w:tab w:val="clear" w:pos="4320"/>
          <w:tab w:val="clear" w:pos="8640"/>
        </w:tabs>
        <w:jc w:val="left"/>
        <w:rPr>
          <w:sz w:val="20"/>
        </w:rPr>
      </w:pPr>
    </w:p>
    <w:p w:rsidR="00752EFE" w:rsidRPr="00752EFE" w:rsidRDefault="00752EFE" w:rsidP="00752EFE">
      <w:pPr>
        <w:pStyle w:val="Heading3"/>
        <w:ind w:left="0" w:right="0"/>
        <w:jc w:val="left"/>
        <w:rPr>
          <w:color w:val="auto"/>
        </w:rPr>
      </w:pPr>
      <w:r w:rsidRPr="00752EFE">
        <w:rPr>
          <w:color w:val="auto"/>
        </w:rPr>
        <w:t>Management</w:t>
      </w:r>
    </w:p>
    <w:p w:rsidR="00752EFE" w:rsidRPr="00752EFE" w:rsidRDefault="00752EFE" w:rsidP="00752E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752EFE">
        <w:rPr>
          <w:sz w:val="20"/>
        </w:rPr>
        <w:t xml:space="preserve">The trees can form dense thickets from sucker growth.  These thickets can be quite striking in color during the fall months.  If a single stem is desired, remove the suckers that develop.  Mowing can easily control the suckers.  The tree may be pruned in the winter to remove dead wood. </w:t>
      </w:r>
    </w:p>
    <w:p w:rsidR="00752EFE" w:rsidRPr="00752EFE" w:rsidRDefault="00752EFE" w:rsidP="00752E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752EFE" w:rsidRPr="00752EFE" w:rsidRDefault="00752EFE" w:rsidP="00752EFE">
      <w:pPr>
        <w:pStyle w:val="Heading3"/>
        <w:ind w:left="0" w:right="0"/>
        <w:jc w:val="left"/>
        <w:rPr>
          <w:color w:val="auto"/>
        </w:rPr>
      </w:pPr>
      <w:r w:rsidRPr="00752EFE">
        <w:rPr>
          <w:color w:val="auto"/>
        </w:rPr>
        <w:t>Pests and Potential Problems</w:t>
      </w:r>
    </w:p>
    <w:p w:rsidR="00752EFE" w:rsidRPr="00752EFE" w:rsidRDefault="00752EFE" w:rsidP="00752EFE">
      <w:pPr>
        <w:jc w:val="left"/>
        <w:rPr>
          <w:sz w:val="20"/>
        </w:rPr>
      </w:pPr>
      <w:r w:rsidRPr="00752EFE">
        <w:rPr>
          <w:sz w:val="20"/>
        </w:rPr>
        <w:t xml:space="preserve">The trees can develop a variety of insect and disease problems that are generally not serious.  Insects will eat the foliage, but rarely eat the entire leaves.  The plants may experience root rot if grown in wet, clay soils.  </w:t>
      </w:r>
    </w:p>
    <w:p w:rsidR="00752EFE" w:rsidRPr="00752EFE" w:rsidRDefault="00752EFE" w:rsidP="00752EFE">
      <w:pPr>
        <w:jc w:val="left"/>
        <w:rPr>
          <w:sz w:val="20"/>
        </w:rPr>
      </w:pPr>
    </w:p>
    <w:p w:rsidR="00752EFE" w:rsidRPr="00752EFE" w:rsidRDefault="00752EFE" w:rsidP="00752EFE">
      <w:pPr>
        <w:pStyle w:val="Heading3"/>
        <w:ind w:left="0" w:right="0"/>
        <w:jc w:val="left"/>
        <w:rPr>
          <w:color w:val="auto"/>
        </w:rPr>
      </w:pPr>
      <w:r w:rsidRPr="00752EFE">
        <w:rPr>
          <w:color w:val="auto"/>
        </w:rPr>
        <w:t>Cultivars, Improved and Selected Materials (and area of origin)</w:t>
      </w:r>
    </w:p>
    <w:p w:rsidR="00752EFE" w:rsidRPr="00752EFE" w:rsidRDefault="00752EFE" w:rsidP="00752EFE">
      <w:pPr>
        <w:pStyle w:val="PlainText"/>
        <w:rPr>
          <w:rFonts w:ascii="Times New Roman" w:hAnsi="Times New Roman"/>
        </w:rPr>
      </w:pPr>
      <w:r w:rsidRPr="00752EFE">
        <w:rPr>
          <w:rFonts w:ascii="Times New Roman" w:hAnsi="Times New Roman"/>
        </w:rPr>
        <w:t>These plant materials are somewhat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752EFE" w:rsidRPr="00752EFE" w:rsidRDefault="00752EFE" w:rsidP="00752EFE">
      <w:pPr>
        <w:jc w:val="left"/>
        <w:rPr>
          <w:b/>
          <w:sz w:val="20"/>
        </w:rPr>
      </w:pPr>
    </w:p>
    <w:p w:rsidR="00752EFE" w:rsidRPr="00752EFE" w:rsidRDefault="00752EFE" w:rsidP="00752EFE">
      <w:pPr>
        <w:pStyle w:val="Heading3"/>
        <w:ind w:left="0" w:right="0"/>
        <w:jc w:val="left"/>
        <w:rPr>
          <w:color w:val="auto"/>
        </w:rPr>
      </w:pPr>
      <w:r w:rsidRPr="00752EFE">
        <w:rPr>
          <w:color w:val="auto"/>
        </w:rPr>
        <w:t>References</w:t>
      </w:r>
    </w:p>
    <w:p w:rsidR="00752EFE" w:rsidRPr="00752EFE" w:rsidRDefault="00752EFE" w:rsidP="00752EFE">
      <w:pPr>
        <w:jc w:val="left"/>
        <w:rPr>
          <w:sz w:val="20"/>
        </w:rPr>
      </w:pPr>
      <w:r w:rsidRPr="00752EFE">
        <w:rPr>
          <w:sz w:val="20"/>
        </w:rPr>
        <w:t xml:space="preserve">Bailey, L.H. &amp; E.Z. Bailey 1976.  </w:t>
      </w:r>
      <w:r w:rsidRPr="00752EFE">
        <w:rPr>
          <w:i/>
          <w:sz w:val="20"/>
        </w:rPr>
        <w:t xml:space="preserve">Hortus Third: A concise dictionary of plants cultivated in the </w:t>
      </w:r>
      <w:smartTag w:uri="urn:schemas-microsoft-com:office:smarttags" w:element="country-region">
        <w:r w:rsidRPr="00752EFE">
          <w:rPr>
            <w:i/>
            <w:sz w:val="20"/>
          </w:rPr>
          <w:t>United States</w:t>
        </w:r>
      </w:smartTag>
      <w:r w:rsidRPr="00752EFE">
        <w:rPr>
          <w:i/>
          <w:sz w:val="20"/>
        </w:rPr>
        <w:t xml:space="preserve"> and </w:t>
      </w:r>
      <w:smartTag w:uri="urn:schemas-microsoft-com:office:smarttags" w:element="country-region">
        <w:smartTag w:uri="urn:schemas-microsoft-com:office:smarttags" w:element="place">
          <w:r w:rsidRPr="00752EFE">
            <w:rPr>
              <w:i/>
              <w:sz w:val="20"/>
            </w:rPr>
            <w:t>Canada</w:t>
          </w:r>
        </w:smartTag>
      </w:smartTag>
      <w:r w:rsidRPr="00752EFE">
        <w:rPr>
          <w:sz w:val="20"/>
        </w:rPr>
        <w:t xml:space="preserve">. Simon and Schuster Macmillan Co., </w:t>
      </w:r>
      <w:smartTag w:uri="urn:schemas-microsoft-com:office:smarttags" w:element="place">
        <w:smartTag w:uri="urn:schemas-microsoft-com:office:smarttags" w:element="City">
          <w:r w:rsidRPr="00752EFE">
            <w:rPr>
              <w:sz w:val="20"/>
            </w:rPr>
            <w:t>New York</w:t>
          </w:r>
        </w:smartTag>
        <w:r w:rsidRPr="00752EFE">
          <w:rPr>
            <w:sz w:val="20"/>
          </w:rPr>
          <w:t xml:space="preserve">, </w:t>
        </w:r>
        <w:smartTag w:uri="urn:schemas-microsoft-com:office:smarttags" w:element="State">
          <w:r w:rsidRPr="00752EFE">
            <w:rPr>
              <w:sz w:val="20"/>
            </w:rPr>
            <w:t>New York</w:t>
          </w:r>
        </w:smartTag>
      </w:smartTag>
      <w:r w:rsidRPr="00752EFE">
        <w:rPr>
          <w:sz w:val="20"/>
        </w:rPr>
        <w:t>.  1290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Banks, W.H. 1953.  </w:t>
      </w:r>
      <w:r w:rsidRPr="00752EFE">
        <w:rPr>
          <w:i/>
          <w:sz w:val="20"/>
        </w:rPr>
        <w:t>Ethnobotany of the Cherokee Indians</w:t>
      </w:r>
      <w:r w:rsidRPr="00752EFE">
        <w:rPr>
          <w:sz w:val="20"/>
        </w:rPr>
        <w:t xml:space="preserve">. Master of Science Thesis, </w:t>
      </w:r>
      <w:smartTag w:uri="urn:schemas-microsoft-com:office:smarttags" w:element="place">
        <w:smartTag w:uri="urn:schemas-microsoft-com:office:smarttags" w:element="City">
          <w:r w:rsidRPr="00752EFE">
            <w:rPr>
              <w:sz w:val="20"/>
            </w:rPr>
            <w:t>University of Tennessee</w:t>
          </w:r>
        </w:smartTag>
        <w:r w:rsidRPr="00752EFE">
          <w:rPr>
            <w:sz w:val="20"/>
          </w:rPr>
          <w:t xml:space="preserve">, </w:t>
        </w:r>
        <w:smartTag w:uri="urn:schemas-microsoft-com:office:smarttags" w:element="State">
          <w:r w:rsidRPr="00752EFE">
            <w:rPr>
              <w:sz w:val="20"/>
            </w:rPr>
            <w:t>Tennessee</w:t>
          </w:r>
        </w:smartTag>
      </w:smartTag>
      <w:r w:rsidRPr="00752EFE">
        <w:rPr>
          <w:sz w:val="20"/>
        </w:rPr>
        <w:t>.  216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Bushnell, D.I., Jr. 1909.  </w:t>
      </w:r>
      <w:r w:rsidRPr="00752EFE">
        <w:rPr>
          <w:i/>
          <w:sz w:val="20"/>
        </w:rPr>
        <w:t xml:space="preserve">The Choctaw of </w:t>
      </w:r>
      <w:smartTag w:uri="urn:schemas-microsoft-com:office:smarttags" w:element="Street">
        <w:smartTag w:uri="urn:schemas-microsoft-com:office:smarttags" w:element="address">
          <w:r w:rsidRPr="00752EFE">
            <w:rPr>
              <w:i/>
              <w:sz w:val="20"/>
            </w:rPr>
            <w:t>Bayou Lacomb St.</w:t>
          </w:r>
        </w:smartTag>
      </w:smartTag>
      <w:r w:rsidRPr="00752EFE">
        <w:rPr>
          <w:i/>
          <w:sz w:val="20"/>
        </w:rPr>
        <w:t xml:space="preserve"> Tammany Parish </w:t>
      </w:r>
      <w:smartTag w:uri="urn:schemas-microsoft-com:office:smarttags" w:element="place">
        <w:smartTag w:uri="urn:schemas-microsoft-com:office:smarttags" w:element="State">
          <w:r w:rsidRPr="00752EFE">
            <w:rPr>
              <w:i/>
              <w:sz w:val="20"/>
            </w:rPr>
            <w:t>Louisiana</w:t>
          </w:r>
        </w:smartTag>
      </w:smartTag>
      <w:r w:rsidRPr="00752EFE">
        <w:rPr>
          <w:sz w:val="20"/>
        </w:rPr>
        <w:t xml:space="preserve">.  Smithsonian Institution Bureau of American Ethnology.  Bulletin 48.  59pp.  </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Dirr, M.A. 1997.  </w:t>
      </w:r>
      <w:r w:rsidRPr="00752EFE">
        <w:rPr>
          <w:i/>
          <w:sz w:val="20"/>
        </w:rPr>
        <w:t>Dirr’s hardy trees and shrubs: an illustrated encyclopedia</w:t>
      </w:r>
      <w:r w:rsidRPr="00752EFE">
        <w:rPr>
          <w:sz w:val="20"/>
        </w:rPr>
        <w:t xml:space="preserve">.  Timber Press, </w:t>
      </w:r>
      <w:smartTag w:uri="urn:schemas-microsoft-com:office:smarttags" w:element="place">
        <w:smartTag w:uri="urn:schemas-microsoft-com:office:smarttags" w:element="City">
          <w:r w:rsidRPr="00752EFE">
            <w:rPr>
              <w:sz w:val="20"/>
            </w:rPr>
            <w:t>Portland</w:t>
          </w:r>
        </w:smartTag>
        <w:r w:rsidRPr="00752EFE">
          <w:rPr>
            <w:sz w:val="20"/>
          </w:rPr>
          <w:t xml:space="preserve">, </w:t>
        </w:r>
        <w:smartTag w:uri="urn:schemas-microsoft-com:office:smarttags" w:element="State">
          <w:r w:rsidRPr="00752EFE">
            <w:rPr>
              <w:sz w:val="20"/>
            </w:rPr>
            <w:t>Oregon</w:t>
          </w:r>
        </w:smartTag>
      </w:smartTag>
      <w:r w:rsidRPr="00752EFE">
        <w:rPr>
          <w:sz w:val="20"/>
        </w:rPr>
        <w:t>.  493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Dirr, M.A. 1998.  </w:t>
      </w:r>
      <w:r w:rsidRPr="00752EFE">
        <w:rPr>
          <w:i/>
          <w:sz w:val="20"/>
        </w:rPr>
        <w:t>Manual of woody landscape plants. Fifth Edition</w:t>
      </w:r>
      <w:r w:rsidRPr="00752EFE">
        <w:rPr>
          <w:sz w:val="20"/>
        </w:rPr>
        <w:t xml:space="preserve">.   Stipes Publishing, </w:t>
      </w:r>
      <w:smartTag w:uri="urn:schemas-microsoft-com:office:smarttags" w:element="place">
        <w:smartTag w:uri="urn:schemas-microsoft-com:office:smarttags" w:element="City">
          <w:r w:rsidRPr="00752EFE">
            <w:rPr>
              <w:sz w:val="20"/>
            </w:rPr>
            <w:t>Champaign</w:t>
          </w:r>
        </w:smartTag>
        <w:r w:rsidRPr="00752EFE">
          <w:rPr>
            <w:sz w:val="20"/>
          </w:rPr>
          <w:t xml:space="preserve">, </w:t>
        </w:r>
        <w:smartTag w:uri="urn:schemas-microsoft-com:office:smarttags" w:element="State">
          <w:r w:rsidRPr="00752EFE">
            <w:rPr>
              <w:sz w:val="20"/>
            </w:rPr>
            <w:t>Illinois</w:t>
          </w:r>
        </w:smartTag>
      </w:smartTag>
      <w:r w:rsidRPr="00752EFE">
        <w:rPr>
          <w:sz w:val="20"/>
        </w:rPr>
        <w:t>.  1187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Halfacre, R.G. &amp; A.R. Showcroft 1979.  </w:t>
      </w:r>
      <w:r w:rsidRPr="00752EFE">
        <w:rPr>
          <w:i/>
          <w:sz w:val="20"/>
        </w:rPr>
        <w:t>Landscape plants of the Southeast</w:t>
      </w:r>
      <w:r w:rsidRPr="00752EFE">
        <w:rPr>
          <w:sz w:val="20"/>
        </w:rPr>
        <w:t xml:space="preserve">.  Sparks Press, </w:t>
      </w:r>
      <w:smartTag w:uri="urn:schemas-microsoft-com:office:smarttags" w:element="place">
        <w:smartTag w:uri="urn:schemas-microsoft-com:office:smarttags" w:element="City">
          <w:r w:rsidRPr="00752EFE">
            <w:rPr>
              <w:sz w:val="20"/>
            </w:rPr>
            <w:t>Raleigh</w:t>
          </w:r>
        </w:smartTag>
        <w:r w:rsidRPr="00752EFE">
          <w:rPr>
            <w:sz w:val="20"/>
          </w:rPr>
          <w:t xml:space="preserve">, </w:t>
        </w:r>
        <w:smartTag w:uri="urn:schemas-microsoft-com:office:smarttags" w:element="State">
          <w:r w:rsidRPr="00752EFE">
            <w:rPr>
              <w:sz w:val="20"/>
            </w:rPr>
            <w:t>North Carolina</w:t>
          </w:r>
        </w:smartTag>
      </w:smartTag>
      <w:r w:rsidRPr="00752EFE">
        <w:rPr>
          <w:sz w:val="20"/>
        </w:rPr>
        <w:t>.  325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Hamel, P.B. &amp; M.U. Chiltoskey 1975. </w:t>
      </w:r>
      <w:r w:rsidRPr="00752EFE">
        <w:rPr>
          <w:i/>
          <w:sz w:val="20"/>
        </w:rPr>
        <w:t xml:space="preserve"> Cherokee plants and their uses: A 400-year history</w:t>
      </w:r>
      <w:r w:rsidRPr="00752EFE">
        <w:rPr>
          <w:sz w:val="20"/>
        </w:rPr>
        <w:t xml:space="preserve">.  Herald Publishing Company, Sylva, </w:t>
      </w:r>
      <w:smartTag w:uri="urn:schemas-microsoft-com:office:smarttags" w:element="State">
        <w:smartTag w:uri="urn:schemas-microsoft-com:office:smarttags" w:element="place">
          <w:r w:rsidRPr="00752EFE">
            <w:rPr>
              <w:sz w:val="20"/>
            </w:rPr>
            <w:t>North Carolina</w:t>
          </w:r>
        </w:smartTag>
      </w:smartTag>
      <w:r w:rsidRPr="00752EFE">
        <w:rPr>
          <w:sz w:val="20"/>
        </w:rPr>
        <w:t>.  65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Herrick, J.W. 1995.  </w:t>
      </w:r>
      <w:r w:rsidRPr="00752EFE">
        <w:rPr>
          <w:i/>
          <w:sz w:val="20"/>
        </w:rPr>
        <w:t>Iroquois medical botany</w:t>
      </w:r>
      <w:r w:rsidRPr="00752EFE">
        <w:rPr>
          <w:sz w:val="20"/>
        </w:rPr>
        <w:t xml:space="preserve">.  </w:t>
      </w:r>
      <w:smartTag w:uri="urn:schemas-microsoft-com:office:smarttags" w:element="PlaceName">
        <w:r w:rsidRPr="00752EFE">
          <w:rPr>
            <w:sz w:val="20"/>
          </w:rPr>
          <w:t>Syracuse</w:t>
        </w:r>
      </w:smartTag>
      <w:r w:rsidRPr="00752EFE">
        <w:rPr>
          <w:sz w:val="20"/>
        </w:rPr>
        <w:t xml:space="preserve"> </w:t>
      </w:r>
      <w:smartTag w:uri="urn:schemas-microsoft-com:office:smarttags" w:element="PlaceType">
        <w:r w:rsidRPr="00752EFE">
          <w:rPr>
            <w:sz w:val="20"/>
          </w:rPr>
          <w:t>University</w:t>
        </w:r>
      </w:smartTag>
      <w:r w:rsidRPr="00752EFE">
        <w:rPr>
          <w:sz w:val="20"/>
        </w:rPr>
        <w:t xml:space="preserve"> Press, </w:t>
      </w:r>
      <w:smartTag w:uri="urn:schemas-microsoft-com:office:smarttags" w:element="place">
        <w:smartTag w:uri="urn:schemas-microsoft-com:office:smarttags" w:element="City">
          <w:r w:rsidRPr="00752EFE">
            <w:rPr>
              <w:sz w:val="20"/>
            </w:rPr>
            <w:t>Syracuse</w:t>
          </w:r>
        </w:smartTag>
        <w:r w:rsidRPr="00752EFE">
          <w:rPr>
            <w:sz w:val="20"/>
          </w:rPr>
          <w:t xml:space="preserve">, </w:t>
        </w:r>
        <w:smartTag w:uri="urn:schemas-microsoft-com:office:smarttags" w:element="State">
          <w:r w:rsidRPr="00752EFE">
            <w:rPr>
              <w:sz w:val="20"/>
            </w:rPr>
            <w:t>New York</w:t>
          </w:r>
        </w:smartTag>
      </w:smartTag>
      <w:r w:rsidRPr="00752EFE">
        <w:rPr>
          <w:sz w:val="20"/>
        </w:rPr>
        <w:t>.  278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Kniffen, F.B., H.F. Gregory, &amp; G.A. Stokes 1994.  </w:t>
      </w:r>
      <w:r w:rsidRPr="00752EFE">
        <w:rPr>
          <w:i/>
          <w:sz w:val="20"/>
        </w:rPr>
        <w:t>The historic Indian Tribes of Louisiana</w:t>
      </w:r>
      <w:r w:rsidRPr="00752EFE">
        <w:rPr>
          <w:sz w:val="20"/>
        </w:rPr>
        <w:t xml:space="preserve">.  </w:t>
      </w:r>
      <w:smartTag w:uri="urn:schemas-microsoft-com:office:smarttags" w:element="PlaceName">
        <w:r w:rsidRPr="00752EFE">
          <w:rPr>
            <w:sz w:val="20"/>
          </w:rPr>
          <w:t>Louisiana</w:t>
        </w:r>
      </w:smartTag>
      <w:r w:rsidRPr="00752EFE">
        <w:rPr>
          <w:sz w:val="20"/>
        </w:rPr>
        <w:t xml:space="preserve"> </w:t>
      </w:r>
      <w:smartTag w:uri="urn:schemas-microsoft-com:office:smarttags" w:element="PlaceType">
        <w:r w:rsidRPr="00752EFE">
          <w:rPr>
            <w:sz w:val="20"/>
          </w:rPr>
          <w:lastRenderedPageBreak/>
          <w:t>State</w:t>
        </w:r>
      </w:smartTag>
      <w:r w:rsidRPr="00752EFE">
        <w:rPr>
          <w:sz w:val="20"/>
        </w:rPr>
        <w:t xml:space="preserve"> </w:t>
      </w:r>
      <w:smartTag w:uri="urn:schemas-microsoft-com:office:smarttags" w:element="PlaceType">
        <w:r w:rsidRPr="00752EFE">
          <w:rPr>
            <w:sz w:val="20"/>
          </w:rPr>
          <w:t>University</w:t>
        </w:r>
      </w:smartTag>
      <w:r w:rsidRPr="00752EFE">
        <w:rPr>
          <w:sz w:val="20"/>
        </w:rPr>
        <w:t xml:space="preserve"> Press, </w:t>
      </w:r>
      <w:smartTag w:uri="urn:schemas-microsoft-com:office:smarttags" w:element="place">
        <w:smartTag w:uri="urn:schemas-microsoft-com:office:smarttags" w:element="City">
          <w:r w:rsidRPr="00752EFE">
            <w:rPr>
              <w:sz w:val="20"/>
            </w:rPr>
            <w:t>Baton Rouge</w:t>
          </w:r>
        </w:smartTag>
        <w:r w:rsidRPr="00752EFE">
          <w:rPr>
            <w:sz w:val="20"/>
          </w:rPr>
          <w:t xml:space="preserve">, </w:t>
        </w:r>
        <w:smartTag w:uri="urn:schemas-microsoft-com:office:smarttags" w:element="State">
          <w:r w:rsidRPr="00752EFE">
            <w:rPr>
              <w:sz w:val="20"/>
            </w:rPr>
            <w:t>Louisiana</w:t>
          </w:r>
        </w:smartTag>
      </w:smartTag>
      <w:r w:rsidRPr="00752EFE">
        <w:rPr>
          <w:sz w:val="20"/>
        </w:rPr>
        <w:t>.  324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Martin, A.C., H.S. Zim &amp; A.L. Nelson 1951.  </w:t>
      </w:r>
      <w:r w:rsidRPr="00752EFE">
        <w:rPr>
          <w:i/>
          <w:sz w:val="20"/>
        </w:rPr>
        <w:t>American wildlife and plants: A guide to wildlife food habits</w:t>
      </w:r>
      <w:r w:rsidRPr="00752EFE">
        <w:rPr>
          <w:sz w:val="20"/>
        </w:rPr>
        <w:t xml:space="preserve">. </w:t>
      </w:r>
      <w:smartTag w:uri="urn:schemas-microsoft-com:office:smarttags" w:element="City">
        <w:r w:rsidRPr="00752EFE">
          <w:rPr>
            <w:sz w:val="20"/>
          </w:rPr>
          <w:t>Dover</w:t>
        </w:r>
      </w:smartTag>
      <w:r w:rsidRPr="00752EFE">
        <w:rPr>
          <w:sz w:val="20"/>
        </w:rPr>
        <w:t xml:space="preserve"> Publications, </w:t>
      </w:r>
      <w:smartTag w:uri="urn:schemas-microsoft-com:office:smarttags" w:element="place">
        <w:smartTag w:uri="urn:schemas-microsoft-com:office:smarttags" w:element="State">
          <w:r w:rsidRPr="00752EFE">
            <w:rPr>
              <w:sz w:val="20"/>
            </w:rPr>
            <w:t>New York</w:t>
          </w:r>
        </w:smartTag>
      </w:smartTag>
      <w:r w:rsidRPr="00752EFE">
        <w:rPr>
          <w:sz w:val="20"/>
        </w:rPr>
        <w:t>.  500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Moerman, D.E. 1998.  </w:t>
      </w:r>
      <w:r w:rsidRPr="00752EFE">
        <w:rPr>
          <w:i/>
          <w:sz w:val="20"/>
        </w:rPr>
        <w:t>Native American ethnobotany</w:t>
      </w:r>
      <w:r w:rsidRPr="00752EFE">
        <w:rPr>
          <w:sz w:val="20"/>
        </w:rPr>
        <w:t xml:space="preserve">.  Timber Press, </w:t>
      </w:r>
      <w:smartTag w:uri="urn:schemas-microsoft-com:office:smarttags" w:element="place">
        <w:smartTag w:uri="urn:schemas-microsoft-com:office:smarttags" w:element="City">
          <w:r w:rsidRPr="00752EFE">
            <w:rPr>
              <w:sz w:val="20"/>
            </w:rPr>
            <w:t>Portland</w:t>
          </w:r>
        </w:smartTag>
        <w:r w:rsidRPr="00752EFE">
          <w:rPr>
            <w:sz w:val="20"/>
          </w:rPr>
          <w:t xml:space="preserve">, </w:t>
        </w:r>
        <w:smartTag w:uri="urn:schemas-microsoft-com:office:smarttags" w:element="State">
          <w:r w:rsidRPr="00752EFE">
            <w:rPr>
              <w:sz w:val="20"/>
            </w:rPr>
            <w:t>Oregon</w:t>
          </w:r>
        </w:smartTag>
      </w:smartTag>
      <w:r w:rsidRPr="00752EFE">
        <w:rPr>
          <w:sz w:val="20"/>
        </w:rPr>
        <w:t>.  927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Moerman, D.E. 1999.  </w:t>
      </w:r>
      <w:r w:rsidRPr="00752EFE">
        <w:rPr>
          <w:i/>
          <w:sz w:val="20"/>
        </w:rPr>
        <w:t xml:space="preserve">Native American Ethnobotany Database: Foods, drugs, dyes and fibers of native North American Peoples.  The University of Michigan-Dearborn.  </w:t>
      </w:r>
      <w:r w:rsidRPr="00752EFE">
        <w:rPr>
          <w:sz w:val="20"/>
        </w:rPr>
        <w:t>[Online].  Available:</w:t>
      </w:r>
    </w:p>
    <w:p w:rsidR="00752EFE" w:rsidRPr="00752EFE" w:rsidRDefault="00752EFE" w:rsidP="00752EFE">
      <w:pPr>
        <w:jc w:val="left"/>
        <w:rPr>
          <w:sz w:val="20"/>
        </w:rPr>
      </w:pPr>
      <w:hyperlink r:id="rId9" w:history="1">
        <w:r w:rsidRPr="00752EFE">
          <w:rPr>
            <w:rStyle w:val="Hyperlink"/>
            <w:color w:val="auto"/>
            <w:sz w:val="20"/>
          </w:rPr>
          <w:t>http://www.u</w:t>
        </w:r>
        <w:r w:rsidRPr="00752EFE">
          <w:rPr>
            <w:rStyle w:val="Hyperlink"/>
            <w:color w:val="auto"/>
            <w:sz w:val="20"/>
          </w:rPr>
          <w:t>m</w:t>
        </w:r>
        <w:r w:rsidRPr="00752EFE">
          <w:rPr>
            <w:rStyle w:val="Hyperlink"/>
            <w:color w:val="auto"/>
            <w:sz w:val="20"/>
          </w:rPr>
          <w:t>d.umich.edu/cgi-bin/herb</w:t>
        </w:r>
      </w:hyperlink>
    </w:p>
    <w:p w:rsidR="00752EFE" w:rsidRPr="00752EFE" w:rsidRDefault="00752EFE" w:rsidP="00752EFE">
      <w:pPr>
        <w:jc w:val="left"/>
        <w:rPr>
          <w:sz w:val="20"/>
        </w:rPr>
      </w:pPr>
      <w:r w:rsidRPr="00752EFE">
        <w:rPr>
          <w:sz w:val="20"/>
        </w:rPr>
        <w:t>(19 June 2001)</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Rogers, D.J. &amp; C. </w:t>
      </w:r>
      <w:smartTag w:uri="urn:schemas-microsoft-com:office:smarttags" w:element="place">
        <w:smartTag w:uri="urn:schemas-microsoft-com:office:smarttags" w:element="City">
          <w:r w:rsidRPr="00752EFE">
            <w:rPr>
              <w:sz w:val="20"/>
            </w:rPr>
            <w:t>Rogers</w:t>
          </w:r>
        </w:smartTag>
      </w:smartTag>
      <w:r w:rsidRPr="00752EFE">
        <w:rPr>
          <w:sz w:val="20"/>
        </w:rPr>
        <w:t xml:space="preserve"> 1991.  </w:t>
      </w:r>
      <w:r w:rsidRPr="00752EFE">
        <w:rPr>
          <w:i/>
          <w:sz w:val="20"/>
        </w:rPr>
        <w:t xml:space="preserve">Woody ornamentals for </w:t>
      </w:r>
      <w:smartTag w:uri="urn:schemas-microsoft-com:office:smarttags" w:element="place">
        <w:r w:rsidRPr="00752EFE">
          <w:rPr>
            <w:i/>
            <w:sz w:val="20"/>
          </w:rPr>
          <w:t>Deep South</w:t>
        </w:r>
      </w:smartTag>
      <w:r w:rsidRPr="00752EFE">
        <w:rPr>
          <w:i/>
          <w:sz w:val="20"/>
        </w:rPr>
        <w:t xml:space="preserve"> gardens</w:t>
      </w:r>
      <w:r w:rsidRPr="00752EFE">
        <w:rPr>
          <w:sz w:val="20"/>
        </w:rPr>
        <w:t xml:space="preserve">. </w:t>
      </w:r>
      <w:smartTag w:uri="urn:schemas-microsoft-com:office:smarttags" w:element="PlaceType">
        <w:r w:rsidRPr="00752EFE">
          <w:rPr>
            <w:sz w:val="20"/>
          </w:rPr>
          <w:t>University</w:t>
        </w:r>
      </w:smartTag>
      <w:r w:rsidRPr="00752EFE">
        <w:rPr>
          <w:sz w:val="20"/>
        </w:rPr>
        <w:t xml:space="preserve"> of </w:t>
      </w:r>
      <w:smartTag w:uri="urn:schemas-microsoft-com:office:smarttags" w:element="PlaceName">
        <w:r w:rsidRPr="00752EFE">
          <w:rPr>
            <w:sz w:val="20"/>
          </w:rPr>
          <w:t>West Florida</w:t>
        </w:r>
      </w:smartTag>
      <w:r w:rsidRPr="00752EFE">
        <w:rPr>
          <w:sz w:val="20"/>
        </w:rPr>
        <w:t xml:space="preserve"> Press, </w:t>
      </w:r>
      <w:smartTag w:uri="urn:schemas-microsoft-com:office:smarttags" w:element="place">
        <w:smartTag w:uri="urn:schemas-microsoft-com:office:smarttags" w:element="City">
          <w:r w:rsidRPr="00752EFE">
            <w:rPr>
              <w:sz w:val="20"/>
            </w:rPr>
            <w:t>Pensacola</w:t>
          </w:r>
        </w:smartTag>
        <w:r w:rsidRPr="00752EFE">
          <w:rPr>
            <w:sz w:val="20"/>
          </w:rPr>
          <w:t xml:space="preserve">, </w:t>
        </w:r>
        <w:smartTag w:uri="urn:schemas-microsoft-com:office:smarttags" w:element="State">
          <w:r w:rsidRPr="00752EFE">
            <w:rPr>
              <w:sz w:val="20"/>
            </w:rPr>
            <w:t>Florida</w:t>
          </w:r>
        </w:smartTag>
      </w:smartTag>
      <w:r w:rsidRPr="00752EFE">
        <w:rPr>
          <w:sz w:val="20"/>
        </w:rPr>
        <w:t>.  296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Small, J.K. 1933.  </w:t>
      </w:r>
      <w:r w:rsidRPr="00752EFE">
        <w:rPr>
          <w:i/>
          <w:sz w:val="20"/>
        </w:rPr>
        <w:t>Manual of Southeastern flora</w:t>
      </w:r>
      <w:r w:rsidRPr="00752EFE">
        <w:rPr>
          <w:sz w:val="20"/>
        </w:rPr>
        <w:t xml:space="preserve">.  </w:t>
      </w:r>
      <w:smartTag w:uri="urn:schemas-microsoft-com:office:smarttags" w:element="PlaceType">
        <w:r w:rsidRPr="00752EFE">
          <w:rPr>
            <w:sz w:val="20"/>
          </w:rPr>
          <w:t>University</w:t>
        </w:r>
      </w:smartTag>
      <w:r w:rsidRPr="00752EFE">
        <w:rPr>
          <w:sz w:val="20"/>
        </w:rPr>
        <w:t xml:space="preserve"> of </w:t>
      </w:r>
      <w:smartTag w:uri="urn:schemas-microsoft-com:office:smarttags" w:element="PlaceName">
        <w:r w:rsidRPr="00752EFE">
          <w:rPr>
            <w:sz w:val="20"/>
          </w:rPr>
          <w:t>North Carolina</w:t>
        </w:r>
      </w:smartTag>
      <w:r w:rsidRPr="00752EFE">
        <w:rPr>
          <w:sz w:val="20"/>
        </w:rPr>
        <w:t xml:space="preserve"> Press, </w:t>
      </w:r>
      <w:smartTag w:uri="urn:schemas-microsoft-com:office:smarttags" w:element="place">
        <w:smartTag w:uri="urn:schemas-microsoft-com:office:smarttags" w:element="City">
          <w:r w:rsidRPr="00752EFE">
            <w:rPr>
              <w:sz w:val="20"/>
            </w:rPr>
            <w:t>Chapel Hill</w:t>
          </w:r>
        </w:smartTag>
        <w:r w:rsidRPr="00752EFE">
          <w:rPr>
            <w:sz w:val="20"/>
          </w:rPr>
          <w:t xml:space="preserve">, </w:t>
        </w:r>
        <w:smartTag w:uri="urn:schemas-microsoft-com:office:smarttags" w:element="State">
          <w:r w:rsidRPr="00752EFE">
            <w:rPr>
              <w:sz w:val="20"/>
            </w:rPr>
            <w:t>North Carolina</w:t>
          </w:r>
        </w:smartTag>
      </w:smartTag>
      <w:r w:rsidRPr="00752EFE">
        <w:rPr>
          <w:sz w:val="20"/>
        </w:rPr>
        <w:t>.  1554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Smith, A.I. 1979.  </w:t>
      </w:r>
      <w:r w:rsidRPr="00752EFE">
        <w:rPr>
          <w:i/>
          <w:sz w:val="20"/>
        </w:rPr>
        <w:t>A guide to wildflowers of the Mid-south</w:t>
      </w:r>
      <w:r w:rsidRPr="00752EFE">
        <w:rPr>
          <w:sz w:val="20"/>
        </w:rPr>
        <w:t xml:space="preserve">.  </w:t>
      </w:r>
      <w:smartTag w:uri="urn:schemas-microsoft-com:office:smarttags" w:element="PlaceName">
        <w:r w:rsidRPr="00752EFE">
          <w:rPr>
            <w:sz w:val="20"/>
          </w:rPr>
          <w:t>Memphis</w:t>
        </w:r>
      </w:smartTag>
      <w:r w:rsidRPr="00752EFE">
        <w:rPr>
          <w:sz w:val="20"/>
        </w:rPr>
        <w:t xml:space="preserve"> </w:t>
      </w:r>
      <w:smartTag w:uri="urn:schemas-microsoft-com:office:smarttags" w:element="PlaceType">
        <w:r w:rsidRPr="00752EFE">
          <w:rPr>
            <w:sz w:val="20"/>
          </w:rPr>
          <w:t>State</w:t>
        </w:r>
      </w:smartTag>
      <w:r w:rsidRPr="00752EFE">
        <w:rPr>
          <w:sz w:val="20"/>
        </w:rPr>
        <w:t xml:space="preserve"> </w:t>
      </w:r>
      <w:smartTag w:uri="urn:schemas-microsoft-com:office:smarttags" w:element="PlaceType">
        <w:r w:rsidRPr="00752EFE">
          <w:rPr>
            <w:sz w:val="20"/>
          </w:rPr>
          <w:t>University</w:t>
        </w:r>
      </w:smartTag>
      <w:r w:rsidRPr="00752EFE">
        <w:rPr>
          <w:sz w:val="20"/>
        </w:rPr>
        <w:t xml:space="preserve"> Press, </w:t>
      </w:r>
      <w:smartTag w:uri="urn:schemas-microsoft-com:office:smarttags" w:element="place">
        <w:smartTag w:uri="urn:schemas-microsoft-com:office:smarttags" w:element="City">
          <w:r w:rsidRPr="00752EFE">
            <w:rPr>
              <w:sz w:val="20"/>
            </w:rPr>
            <w:t>Memphis</w:t>
          </w:r>
        </w:smartTag>
        <w:r w:rsidRPr="00752EFE">
          <w:rPr>
            <w:sz w:val="20"/>
          </w:rPr>
          <w:t xml:space="preserve">, </w:t>
        </w:r>
        <w:smartTag w:uri="urn:schemas-microsoft-com:office:smarttags" w:element="State">
          <w:r w:rsidRPr="00752EFE">
            <w:rPr>
              <w:sz w:val="20"/>
            </w:rPr>
            <w:t>Tennessee</w:t>
          </w:r>
        </w:smartTag>
      </w:smartTag>
      <w:r w:rsidRPr="00752EFE">
        <w:rPr>
          <w:sz w:val="20"/>
        </w:rPr>
        <w:t>.  281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Speck, F.G. 1941.  </w:t>
      </w:r>
      <w:r w:rsidRPr="00752EFE">
        <w:rPr>
          <w:i/>
          <w:sz w:val="20"/>
        </w:rPr>
        <w:t>A list of plant curatives obtained from the Houma Indians of Louisiana</w:t>
      </w:r>
      <w:r w:rsidRPr="00752EFE">
        <w:rPr>
          <w:sz w:val="20"/>
        </w:rPr>
        <w:t>.  Primitive Man Quarterly Bulletin of the Catholic Anthropological Conference 14(4): 49-75.</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Sturtevant, W.C. 1954.  </w:t>
      </w:r>
      <w:r w:rsidRPr="00752EFE">
        <w:rPr>
          <w:i/>
          <w:sz w:val="20"/>
        </w:rPr>
        <w:t>The Mikasuki Seminole: medical beliefs and practices</w:t>
      </w:r>
      <w:r w:rsidRPr="00752EFE">
        <w:rPr>
          <w:sz w:val="20"/>
        </w:rPr>
        <w:t xml:space="preserve">.  Doctoral Dissertation, </w:t>
      </w:r>
      <w:smartTag w:uri="urn:schemas-microsoft-com:office:smarttags" w:element="place">
        <w:smartTag w:uri="urn:schemas-microsoft-com:office:smarttags" w:element="PlaceName">
          <w:r w:rsidRPr="00752EFE">
            <w:rPr>
              <w:sz w:val="20"/>
            </w:rPr>
            <w:t>Yale</w:t>
          </w:r>
        </w:smartTag>
        <w:r w:rsidRPr="00752EFE">
          <w:rPr>
            <w:sz w:val="20"/>
          </w:rPr>
          <w:t xml:space="preserve"> </w:t>
        </w:r>
        <w:smartTag w:uri="urn:schemas-microsoft-com:office:smarttags" w:element="PlaceType">
          <w:r w:rsidRPr="00752EFE">
            <w:rPr>
              <w:sz w:val="20"/>
            </w:rPr>
            <w:t>University</w:t>
          </w:r>
        </w:smartTag>
      </w:smartTag>
      <w:r w:rsidRPr="00752EFE">
        <w:rPr>
          <w:sz w:val="20"/>
        </w:rPr>
        <w:t xml:space="preserve">.  538 pp. </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Swanson, R.E. 1994.  </w:t>
      </w:r>
      <w:r w:rsidRPr="00752EFE">
        <w:rPr>
          <w:i/>
          <w:sz w:val="20"/>
        </w:rPr>
        <w:t>A field guide to the trees and shrubs of the Southern Appalachians</w:t>
      </w:r>
      <w:r w:rsidRPr="00752EFE">
        <w:rPr>
          <w:sz w:val="20"/>
        </w:rPr>
        <w:t xml:space="preserve">.  </w:t>
      </w:r>
      <w:smartTag w:uri="urn:schemas-microsoft-com:office:smarttags" w:element="PlaceName">
        <w:r w:rsidRPr="00752EFE">
          <w:rPr>
            <w:sz w:val="20"/>
          </w:rPr>
          <w:t>John</w:t>
        </w:r>
      </w:smartTag>
      <w:r w:rsidRPr="00752EFE">
        <w:rPr>
          <w:sz w:val="20"/>
        </w:rPr>
        <w:t xml:space="preserve"> </w:t>
      </w:r>
      <w:smartTag w:uri="urn:schemas-microsoft-com:office:smarttags" w:element="PlaceName">
        <w:r w:rsidRPr="00752EFE">
          <w:rPr>
            <w:sz w:val="20"/>
          </w:rPr>
          <w:t>Hopkins</w:t>
        </w:r>
      </w:smartTag>
      <w:r w:rsidRPr="00752EFE">
        <w:rPr>
          <w:sz w:val="20"/>
        </w:rPr>
        <w:t xml:space="preserve"> </w:t>
      </w:r>
      <w:smartTag w:uri="urn:schemas-microsoft-com:office:smarttags" w:element="PlaceType">
        <w:r w:rsidRPr="00752EFE">
          <w:rPr>
            <w:sz w:val="20"/>
          </w:rPr>
          <w:t>University</w:t>
        </w:r>
      </w:smartTag>
      <w:r w:rsidRPr="00752EFE">
        <w:rPr>
          <w:sz w:val="20"/>
        </w:rPr>
        <w:t xml:space="preserve"> Press, </w:t>
      </w:r>
      <w:smartTag w:uri="urn:schemas-microsoft-com:office:smarttags" w:element="place">
        <w:smartTag w:uri="urn:schemas-microsoft-com:office:smarttags" w:element="City">
          <w:r w:rsidRPr="00752EFE">
            <w:rPr>
              <w:sz w:val="20"/>
            </w:rPr>
            <w:t>Baltimore</w:t>
          </w:r>
        </w:smartTag>
        <w:r w:rsidRPr="00752EFE">
          <w:rPr>
            <w:sz w:val="20"/>
          </w:rPr>
          <w:t xml:space="preserve">, </w:t>
        </w:r>
        <w:smartTag w:uri="urn:schemas-microsoft-com:office:smarttags" w:element="State">
          <w:r w:rsidRPr="00752EFE">
            <w:rPr>
              <w:sz w:val="20"/>
            </w:rPr>
            <w:t>Maryland</w:t>
          </w:r>
        </w:smartTag>
      </w:smartTag>
      <w:r w:rsidRPr="00752EFE">
        <w:rPr>
          <w:sz w:val="20"/>
        </w:rPr>
        <w:t>.  399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Taylor, </w:t>
      </w:r>
      <w:smartTag w:uri="urn:schemas-microsoft-com:office:smarttags" w:element="City">
        <w:smartTag w:uri="urn:schemas-microsoft-com:office:smarttags" w:element="place">
          <w:r w:rsidRPr="00752EFE">
            <w:rPr>
              <w:sz w:val="20"/>
            </w:rPr>
            <w:t>L.A.</w:t>
          </w:r>
        </w:smartTag>
      </w:smartTag>
      <w:r w:rsidRPr="00752EFE">
        <w:rPr>
          <w:sz w:val="20"/>
        </w:rPr>
        <w:t xml:space="preserve">  1940.  </w:t>
      </w:r>
      <w:r w:rsidRPr="00752EFE">
        <w:rPr>
          <w:i/>
          <w:sz w:val="20"/>
        </w:rPr>
        <w:t>Plants used as curatives by certain Southeastern Tribes</w:t>
      </w:r>
      <w:r w:rsidRPr="00752EFE">
        <w:rPr>
          <w:sz w:val="20"/>
        </w:rPr>
        <w:t xml:space="preserve">. </w:t>
      </w:r>
      <w:smartTag w:uri="urn:schemas-microsoft-com:office:smarttags" w:element="PlaceName">
        <w:r w:rsidRPr="00752EFE">
          <w:rPr>
            <w:sz w:val="20"/>
          </w:rPr>
          <w:t>Botanical</w:t>
        </w:r>
      </w:smartTag>
      <w:r w:rsidRPr="00752EFE">
        <w:rPr>
          <w:sz w:val="20"/>
        </w:rPr>
        <w:t xml:space="preserve"> </w:t>
      </w:r>
      <w:smartTag w:uri="urn:schemas-microsoft-com:office:smarttags" w:element="PlaceType">
        <w:r w:rsidRPr="00752EFE">
          <w:rPr>
            <w:sz w:val="20"/>
          </w:rPr>
          <w:t>Museum</w:t>
        </w:r>
      </w:smartTag>
      <w:r w:rsidRPr="00752EFE">
        <w:rPr>
          <w:sz w:val="20"/>
        </w:rPr>
        <w:t xml:space="preserve"> of </w:t>
      </w:r>
      <w:smartTag w:uri="urn:schemas-microsoft-com:office:smarttags" w:element="PlaceName">
        <w:r w:rsidRPr="00752EFE">
          <w:rPr>
            <w:sz w:val="20"/>
          </w:rPr>
          <w:t>Harvard</w:t>
        </w:r>
      </w:smartTag>
      <w:r w:rsidRPr="00752EFE">
        <w:rPr>
          <w:sz w:val="20"/>
        </w:rPr>
        <w:t xml:space="preserve"> </w:t>
      </w:r>
      <w:smartTag w:uri="urn:schemas-microsoft-com:office:smarttags" w:element="PlaceType">
        <w:r w:rsidRPr="00752EFE">
          <w:rPr>
            <w:sz w:val="20"/>
          </w:rPr>
          <w:t>University</w:t>
        </w:r>
      </w:smartTag>
      <w:r w:rsidRPr="00752EFE">
        <w:rPr>
          <w:sz w:val="20"/>
        </w:rPr>
        <w:t xml:space="preserve">, </w:t>
      </w:r>
      <w:smartTag w:uri="urn:schemas-microsoft-com:office:smarttags" w:element="place">
        <w:smartTag w:uri="urn:schemas-microsoft-com:office:smarttags" w:element="City">
          <w:r w:rsidRPr="00752EFE">
            <w:rPr>
              <w:sz w:val="20"/>
            </w:rPr>
            <w:t>Cambridge</w:t>
          </w:r>
        </w:smartTag>
        <w:r w:rsidRPr="00752EFE">
          <w:rPr>
            <w:sz w:val="20"/>
          </w:rPr>
          <w:t xml:space="preserve">, </w:t>
        </w:r>
        <w:smartTag w:uri="urn:schemas-microsoft-com:office:smarttags" w:element="State">
          <w:r w:rsidRPr="00752EFE">
            <w:rPr>
              <w:sz w:val="20"/>
            </w:rPr>
            <w:t>Massachusetts</w:t>
          </w:r>
        </w:smartTag>
      </w:smartTag>
      <w:r w:rsidRPr="00752EFE">
        <w:rPr>
          <w:sz w:val="20"/>
        </w:rPr>
        <w:t xml:space="preserve">. </w:t>
      </w:r>
    </w:p>
    <w:p w:rsidR="00752EFE" w:rsidRPr="00752EFE" w:rsidRDefault="00752EFE" w:rsidP="00752EFE">
      <w:pPr>
        <w:jc w:val="left"/>
        <w:rPr>
          <w:sz w:val="20"/>
        </w:rPr>
      </w:pPr>
      <w:r w:rsidRPr="00752EFE">
        <w:rPr>
          <w:sz w:val="20"/>
        </w:rPr>
        <w:t>88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Whitcomb, C.E. 1983.  </w:t>
      </w:r>
      <w:r w:rsidRPr="00752EFE">
        <w:rPr>
          <w:i/>
          <w:sz w:val="20"/>
        </w:rPr>
        <w:t>Know it and grow it, II: A guide to the identification and use of landscape plants</w:t>
      </w:r>
      <w:r w:rsidRPr="00752EFE">
        <w:rPr>
          <w:sz w:val="20"/>
        </w:rPr>
        <w:t xml:space="preserve">.  Lacebark Publications, </w:t>
      </w:r>
      <w:smartTag w:uri="urn:schemas-microsoft-com:office:smarttags" w:element="place">
        <w:smartTag w:uri="urn:schemas-microsoft-com:office:smarttags" w:element="City">
          <w:r w:rsidRPr="00752EFE">
            <w:rPr>
              <w:sz w:val="20"/>
            </w:rPr>
            <w:t>Stillwater</w:t>
          </w:r>
        </w:smartTag>
        <w:r w:rsidRPr="00752EFE">
          <w:rPr>
            <w:sz w:val="20"/>
          </w:rPr>
          <w:t xml:space="preserve">, </w:t>
        </w:r>
        <w:smartTag w:uri="urn:schemas-microsoft-com:office:smarttags" w:element="State">
          <w:r w:rsidRPr="00752EFE">
            <w:rPr>
              <w:sz w:val="20"/>
            </w:rPr>
            <w:t>Oklahoma</w:t>
          </w:r>
        </w:smartTag>
      </w:smartTag>
      <w:r w:rsidRPr="00752EFE">
        <w:rPr>
          <w:sz w:val="20"/>
        </w:rPr>
        <w:t>.  740 pp.</w:t>
      </w:r>
    </w:p>
    <w:p w:rsidR="00752EFE" w:rsidRPr="00752EFE" w:rsidRDefault="00752EFE" w:rsidP="00752EFE">
      <w:pPr>
        <w:jc w:val="left"/>
        <w:rPr>
          <w:sz w:val="20"/>
        </w:rPr>
      </w:pPr>
    </w:p>
    <w:p w:rsidR="00752EFE" w:rsidRPr="00752EFE" w:rsidRDefault="00752EFE" w:rsidP="00752EFE">
      <w:pPr>
        <w:jc w:val="left"/>
        <w:rPr>
          <w:sz w:val="20"/>
        </w:rPr>
      </w:pPr>
      <w:r w:rsidRPr="00752EFE">
        <w:rPr>
          <w:sz w:val="20"/>
        </w:rPr>
        <w:t xml:space="preserve">Young, J.A. &amp; C.G. Young 1992.  </w:t>
      </w:r>
      <w:r w:rsidRPr="00752EFE">
        <w:rPr>
          <w:i/>
          <w:sz w:val="20"/>
        </w:rPr>
        <w:t>Seeds of woody plants in North America</w:t>
      </w:r>
      <w:r w:rsidRPr="00752EFE">
        <w:rPr>
          <w:sz w:val="20"/>
        </w:rPr>
        <w:t xml:space="preserve">.  Dioscorides Press, </w:t>
      </w:r>
      <w:smartTag w:uri="urn:schemas-microsoft-com:office:smarttags" w:element="place">
        <w:smartTag w:uri="urn:schemas-microsoft-com:office:smarttags" w:element="City">
          <w:r w:rsidRPr="00752EFE">
            <w:rPr>
              <w:sz w:val="20"/>
            </w:rPr>
            <w:t>Portland</w:t>
          </w:r>
        </w:smartTag>
        <w:r w:rsidRPr="00752EFE">
          <w:rPr>
            <w:sz w:val="20"/>
          </w:rPr>
          <w:t xml:space="preserve">, </w:t>
        </w:r>
        <w:smartTag w:uri="urn:schemas-microsoft-com:office:smarttags" w:element="State">
          <w:r w:rsidRPr="00752EFE">
            <w:rPr>
              <w:sz w:val="20"/>
            </w:rPr>
            <w:t>Oregon</w:t>
          </w:r>
        </w:smartTag>
      </w:smartTag>
      <w:r w:rsidRPr="00752EFE">
        <w:rPr>
          <w:sz w:val="20"/>
        </w:rPr>
        <w:t xml:space="preserve">.  407 pp.  </w:t>
      </w:r>
    </w:p>
    <w:p w:rsidR="00752EFE" w:rsidRPr="00752EFE" w:rsidRDefault="00752EFE" w:rsidP="00752EFE">
      <w:pPr>
        <w:jc w:val="left"/>
        <w:rPr>
          <w:sz w:val="20"/>
        </w:rPr>
      </w:pPr>
    </w:p>
    <w:p w:rsidR="00752EFE" w:rsidRPr="00752EFE" w:rsidRDefault="00752EFE" w:rsidP="00752EFE">
      <w:pPr>
        <w:pStyle w:val="Heading3"/>
        <w:ind w:left="0" w:right="0"/>
        <w:jc w:val="left"/>
        <w:rPr>
          <w:color w:val="auto"/>
        </w:rPr>
      </w:pPr>
      <w:r w:rsidRPr="00752EFE">
        <w:rPr>
          <w:color w:val="auto"/>
        </w:rPr>
        <w:lastRenderedPageBreak/>
        <w:t>Prepared By</w:t>
      </w:r>
    </w:p>
    <w:p w:rsidR="00752EFE" w:rsidRPr="00752EFE" w:rsidRDefault="00752EFE" w:rsidP="00752EFE">
      <w:pPr>
        <w:pStyle w:val="Heading2"/>
        <w:jc w:val="left"/>
        <w:rPr>
          <w:b w:val="0"/>
          <w:i/>
          <w:color w:val="auto"/>
          <w:sz w:val="20"/>
        </w:rPr>
      </w:pPr>
      <w:r w:rsidRPr="00752EFE">
        <w:rPr>
          <w:b w:val="0"/>
          <w:i/>
          <w:color w:val="auto"/>
          <w:sz w:val="20"/>
        </w:rPr>
        <w:t>Diana L. Immel</w:t>
      </w:r>
    </w:p>
    <w:p w:rsidR="00752EFE" w:rsidRPr="00752EFE" w:rsidRDefault="00752EFE" w:rsidP="00752EFE">
      <w:pPr>
        <w:pStyle w:val="Footer"/>
        <w:tabs>
          <w:tab w:val="clear" w:pos="4320"/>
          <w:tab w:val="clear" w:pos="8640"/>
        </w:tabs>
        <w:jc w:val="left"/>
        <w:rPr>
          <w:sz w:val="20"/>
        </w:rPr>
      </w:pPr>
      <w:r w:rsidRPr="00752EFE">
        <w:rPr>
          <w:sz w:val="20"/>
        </w:rPr>
        <w:t>Formerly USDA, NRCS, National Plant Data Center, c/o Environmental Horticulture Department, University of California, Davis, California</w:t>
      </w:r>
    </w:p>
    <w:p w:rsidR="00752EFE" w:rsidRPr="00752EFE" w:rsidRDefault="00752EFE" w:rsidP="00752EFE">
      <w:pPr>
        <w:jc w:val="left"/>
        <w:rPr>
          <w:sz w:val="20"/>
        </w:rPr>
      </w:pPr>
    </w:p>
    <w:p w:rsidR="00752EFE" w:rsidRPr="00752EFE" w:rsidRDefault="00752EFE" w:rsidP="00752EFE">
      <w:pPr>
        <w:pStyle w:val="Heading3"/>
        <w:ind w:left="0" w:right="0"/>
        <w:jc w:val="left"/>
        <w:rPr>
          <w:color w:val="auto"/>
        </w:rPr>
      </w:pPr>
      <w:r w:rsidRPr="00752EFE">
        <w:rPr>
          <w:color w:val="auto"/>
        </w:rPr>
        <w:t>Species Coordinator</w:t>
      </w:r>
    </w:p>
    <w:p w:rsidR="00752EFE" w:rsidRPr="00752EFE" w:rsidRDefault="00752EFE" w:rsidP="00752EFE">
      <w:pPr>
        <w:pStyle w:val="Heading2"/>
        <w:jc w:val="left"/>
        <w:rPr>
          <w:b w:val="0"/>
          <w:i/>
          <w:color w:val="auto"/>
          <w:sz w:val="20"/>
        </w:rPr>
      </w:pPr>
      <w:r w:rsidRPr="00752EFE">
        <w:rPr>
          <w:b w:val="0"/>
          <w:i/>
          <w:color w:val="auto"/>
          <w:sz w:val="20"/>
        </w:rPr>
        <w:t>M. Kat Anderson</w:t>
      </w:r>
    </w:p>
    <w:p w:rsidR="00752EFE" w:rsidRPr="00752EFE" w:rsidRDefault="00752EFE" w:rsidP="00752EFE">
      <w:pPr>
        <w:pStyle w:val="PlainText"/>
        <w:rPr>
          <w:rFonts w:ascii="Times New Roman" w:hAnsi="Times New Roman"/>
        </w:rPr>
      </w:pPr>
      <w:r w:rsidRPr="00752EFE">
        <w:rPr>
          <w:rFonts w:ascii="Times New Roman" w:hAnsi="Times New Roman"/>
        </w:rPr>
        <w:t>USDA, NRCS, National Plant Data Center, c/o Plant Sciences Department, University of California, Davis, California</w:t>
      </w:r>
    </w:p>
    <w:p w:rsidR="00752EFE" w:rsidRDefault="00752EFE" w:rsidP="00752EFE">
      <w:pPr>
        <w:rPr>
          <w:sz w:val="20"/>
        </w:rPr>
      </w:pPr>
    </w:p>
    <w:p w:rsidR="00752EFE" w:rsidRDefault="00752EFE" w:rsidP="00752EFE">
      <w:pPr>
        <w:jc w:val="left"/>
        <w:rPr>
          <w:sz w:val="16"/>
        </w:rPr>
      </w:pPr>
      <w:r>
        <w:rPr>
          <w:sz w:val="16"/>
        </w:rPr>
        <w:t>Edited: 27sep01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D8F" w:rsidRDefault="004F6D8F">
      <w:r>
        <w:separator/>
      </w:r>
    </w:p>
  </w:endnote>
  <w:endnote w:type="continuationSeparator" w:id="0">
    <w:p w:rsidR="004F6D8F" w:rsidRDefault="004F6D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D8F" w:rsidRDefault="004F6D8F">
      <w:r>
        <w:separator/>
      </w:r>
    </w:p>
  </w:footnote>
  <w:footnote w:type="continuationSeparator" w:id="0">
    <w:p w:rsidR="004F6D8F" w:rsidRDefault="004F6D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D7CA3">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6D8F"/>
    <w:rsid w:val="004F75FB"/>
    <w:rsid w:val="00520FAC"/>
    <w:rsid w:val="00592CFA"/>
    <w:rsid w:val="005A2740"/>
    <w:rsid w:val="005E45C3"/>
    <w:rsid w:val="005F57D8"/>
    <w:rsid w:val="0061608E"/>
    <w:rsid w:val="006333FE"/>
    <w:rsid w:val="0064486F"/>
    <w:rsid w:val="00660D73"/>
    <w:rsid w:val="0067638F"/>
    <w:rsid w:val="006B4B3E"/>
    <w:rsid w:val="00712AC4"/>
    <w:rsid w:val="00752EFE"/>
    <w:rsid w:val="007A3680"/>
    <w:rsid w:val="007F3743"/>
    <w:rsid w:val="00830F95"/>
    <w:rsid w:val="0088325A"/>
    <w:rsid w:val="0089154B"/>
    <w:rsid w:val="008B3C33"/>
    <w:rsid w:val="008E6018"/>
    <w:rsid w:val="008F3D5A"/>
    <w:rsid w:val="008F52D9"/>
    <w:rsid w:val="008F6154"/>
    <w:rsid w:val="00902395"/>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3232A"/>
    <w:rsid w:val="00C71B7B"/>
    <w:rsid w:val="00C81773"/>
    <w:rsid w:val="00C95C6F"/>
    <w:rsid w:val="00CA5414"/>
    <w:rsid w:val="00CC0A51"/>
    <w:rsid w:val="00CD49CC"/>
    <w:rsid w:val="00CD7CA3"/>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umd.umich.edu/cgi-bin/herb"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SASSAFRAS</vt:lpstr>
    </vt:vector>
  </TitlesOfParts>
  <Company>USDA NRCS National Plant Data Center</Company>
  <LinksUpToDate>false</LinksUpToDate>
  <CharactersWithSpaces>11985</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SASSAFRAS</dc:title>
  <dc:subject>Sassafras albidum (Nutt.) Nees</dc:subject>
  <dc:creator>J. Scott Peterson</dc:creator>
  <cp:keywords/>
  <cp:lastModifiedBy>William Farrell</cp:lastModifiedBy>
  <cp:revision>2</cp:revision>
  <cp:lastPrinted>2003-06-09T21:39:00Z</cp:lastPrinted>
  <dcterms:created xsi:type="dcterms:W3CDTF">2011-01-25T19:10:00Z</dcterms:created>
  <dcterms:modified xsi:type="dcterms:W3CDTF">2011-01-25T19:10:00Z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