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49CC" w:rsidRPr="00830F95" w:rsidRDefault="00CD49CC">
      <w:pPr>
        <w:pStyle w:val="Header"/>
        <w:tabs>
          <w:tab w:val="clear" w:pos="4320"/>
          <w:tab w:val="clear" w:pos="8640"/>
        </w:tabs>
        <w:rPr>
          <w:sz w:val="16"/>
          <w:szCs w:val="16"/>
        </w:rPr>
      </w:pPr>
    </w:p>
    <w:p w:rsidR="00CD49CC" w:rsidRPr="00830F95" w:rsidRDefault="00CD49CC">
      <w:pPr>
        <w:rPr>
          <w:sz w:val="16"/>
          <w:szCs w:val="16"/>
        </w:rPr>
        <w:sectPr w:rsidR="00CD49CC" w:rsidRPr="00830F95">
          <w:headerReference w:type="first" r:id="rId6"/>
          <w:footerReference w:type="first" r:id="rId7"/>
          <w:pgSz w:w="12240" w:h="15840" w:code="1"/>
          <w:pgMar w:top="1440" w:right="1440" w:bottom="1440" w:left="1440" w:header="720" w:footer="720" w:gutter="0"/>
          <w:cols w:space="720"/>
          <w:titlePg/>
        </w:sectPr>
      </w:pPr>
    </w:p>
    <w:tbl>
      <w:tblPr>
        <w:tblW w:w="0" w:type="auto"/>
        <w:tblInd w:w="18" w:type="dxa"/>
        <w:tblLayout w:type="fixed"/>
        <w:tblLook w:val="0000"/>
      </w:tblPr>
      <w:tblGrid>
        <w:gridCol w:w="4410"/>
      </w:tblGrid>
      <w:tr w:rsidR="00CD49CC">
        <w:tblPrEx>
          <w:tblCellMar>
            <w:top w:w="0" w:type="dxa"/>
            <w:bottom w:w="0" w:type="dxa"/>
          </w:tblCellMar>
        </w:tblPrEx>
        <w:tc>
          <w:tcPr>
            <w:tcW w:w="4410" w:type="dxa"/>
          </w:tcPr>
          <w:p w:rsidR="00C95C6F" w:rsidRDefault="00801DCE" w:rsidP="000578C2">
            <w:pPr>
              <w:pStyle w:val="TitleHeader"/>
              <w:rPr>
                <w:i/>
              </w:rPr>
            </w:pPr>
            <w:r>
              <w:lastRenderedPageBreak/>
              <w:t>white brodiaea</w:t>
            </w:r>
          </w:p>
        </w:tc>
      </w:tr>
      <w:tr w:rsidR="00CD49CC">
        <w:tblPrEx>
          <w:tblCellMar>
            <w:top w:w="0" w:type="dxa"/>
            <w:bottom w:w="0" w:type="dxa"/>
          </w:tblCellMar>
        </w:tblPrEx>
        <w:tc>
          <w:tcPr>
            <w:tcW w:w="4410" w:type="dxa"/>
          </w:tcPr>
          <w:p w:rsidR="00CD49CC" w:rsidRPr="00C95C6F" w:rsidRDefault="00801DCE" w:rsidP="008F6154">
            <w:pPr>
              <w:pStyle w:val="Titlesubheader1"/>
            </w:pPr>
            <w:r>
              <w:rPr>
                <w:i/>
              </w:rPr>
              <w:t>Triteleia hyacinthina</w:t>
            </w:r>
            <w:r w:rsidR="000F1970" w:rsidRPr="008F3D5A">
              <w:t xml:space="preserve"> </w:t>
            </w:r>
            <w:r>
              <w:t>(Lindl.) Greene</w:t>
            </w:r>
          </w:p>
        </w:tc>
      </w:tr>
      <w:tr w:rsidR="00CD49CC">
        <w:tblPrEx>
          <w:tblCellMar>
            <w:top w:w="0" w:type="dxa"/>
            <w:bottom w:w="0" w:type="dxa"/>
          </w:tblCellMar>
        </w:tblPrEx>
        <w:tc>
          <w:tcPr>
            <w:tcW w:w="4410" w:type="dxa"/>
          </w:tcPr>
          <w:p w:rsidR="00CD49CC" w:rsidRDefault="000F1970" w:rsidP="008F3D5A">
            <w:pPr>
              <w:pStyle w:val="Titlesubheader2"/>
              <w:rPr>
                <w:i/>
              </w:rPr>
            </w:pPr>
            <w:r>
              <w:t xml:space="preserve">Plant </w:t>
            </w:r>
            <w:r w:rsidR="006B4B3E">
              <w:t>S</w:t>
            </w:r>
            <w:r>
              <w:t xml:space="preserve">ymbol = </w:t>
            </w:r>
            <w:r w:rsidR="00801DCE">
              <w:t>TRHY3</w:t>
            </w:r>
          </w:p>
        </w:tc>
      </w:tr>
    </w:tbl>
    <w:p w:rsidR="00CD49CC" w:rsidRPr="004A50AC" w:rsidRDefault="00CD49CC" w:rsidP="004A50AC">
      <w:pPr>
        <w:jc w:val="left"/>
        <w:rPr>
          <w:sz w:val="20"/>
        </w:rPr>
      </w:pPr>
    </w:p>
    <w:p w:rsidR="00183135" w:rsidRPr="00C95C6F" w:rsidRDefault="00183135" w:rsidP="00183135">
      <w:pPr>
        <w:pStyle w:val="Header2"/>
      </w:pPr>
      <w:r>
        <w:t>Contributed by</w:t>
      </w:r>
      <w:r w:rsidRPr="00C95C6F">
        <w:t xml:space="preserve">: </w:t>
      </w:r>
      <w:smartTag w:uri="urn:schemas-microsoft-com:office:smarttags" w:element="place">
        <w:smartTag w:uri="urn:schemas-microsoft-com:office:smarttags" w:element="PlaceName">
          <w:r w:rsidR="004722DB">
            <w:t>USDA</w:t>
          </w:r>
        </w:smartTag>
        <w:r w:rsidR="004722DB">
          <w:t xml:space="preserve"> </w:t>
        </w:r>
        <w:smartTag w:uri="urn:schemas-microsoft-com:office:smarttags" w:element="PlaceName">
          <w:r w:rsidR="004722DB">
            <w:t>NRCS</w:t>
          </w:r>
        </w:smartTag>
        <w:r w:rsidR="004722DB">
          <w:t xml:space="preserve"> </w:t>
        </w:r>
        <w:smartTag w:uri="urn:schemas-microsoft-com:office:smarttags" w:element="PlaceName">
          <w:r w:rsidR="004722DB">
            <w:t>National</w:t>
          </w:r>
        </w:smartTag>
        <w:r w:rsidR="004722DB">
          <w:t xml:space="preserve"> </w:t>
        </w:r>
        <w:smartTag w:uri="urn:schemas-microsoft-com:office:smarttags" w:element="PlaceName">
          <w:r w:rsidR="004722DB">
            <w:t>Plant</w:t>
          </w:r>
        </w:smartTag>
        <w:r w:rsidR="004722DB">
          <w:t xml:space="preserve"> </w:t>
        </w:r>
        <w:smartTag w:uri="urn:schemas-microsoft-com:office:smarttags" w:element="PlaceName">
          <w:r w:rsidR="004722DB">
            <w:t>Data</w:t>
          </w:r>
        </w:smartTag>
        <w:r w:rsidR="004722DB">
          <w:t xml:space="preserve"> </w:t>
        </w:r>
        <w:smartTag w:uri="urn:schemas-microsoft-com:office:smarttags" w:element="PlaceType">
          <w:r w:rsidR="004722DB">
            <w:t>Center &amp; East</w:t>
          </w:r>
        </w:smartTag>
        <w:r w:rsidR="004722DB">
          <w:t xml:space="preserve"> </w:t>
        </w:r>
        <w:smartTag w:uri="urn:schemas-microsoft-com:office:smarttags" w:element="PlaceType">
          <w:r w:rsidR="004722DB">
            <w:t>Bay</w:t>
          </w:r>
        </w:smartTag>
        <w:r w:rsidR="004722DB">
          <w:t xml:space="preserve"> </w:t>
        </w:r>
        <w:smartTag w:uri="urn:schemas-microsoft-com:office:smarttags" w:element="PlaceName">
          <w:r w:rsidR="004722DB">
            <w:t>Regional</w:t>
          </w:r>
        </w:smartTag>
        <w:r w:rsidR="004722DB">
          <w:t xml:space="preserve"> </w:t>
        </w:r>
        <w:smartTag w:uri="urn:schemas-microsoft-com:office:smarttags" w:element="PlaceType">
          <w:r w:rsidR="004722DB">
            <w:t>Parks</w:t>
          </w:r>
        </w:smartTag>
        <w:r w:rsidR="004722DB">
          <w:t xml:space="preserve"> </w:t>
        </w:r>
        <w:smartTag w:uri="urn:schemas-microsoft-com:office:smarttags" w:element="PlaceType">
          <w:r w:rsidR="004722DB">
            <w:t>Botanic Garden</w:t>
          </w:r>
        </w:smartTag>
      </w:smartTag>
    </w:p>
    <w:p w:rsidR="00D53A51" w:rsidRDefault="004722DB" w:rsidP="004911C7">
      <w:pPr>
        <w:pStyle w:val="Heading3"/>
        <w:ind w:left="0" w:right="0"/>
        <w:jc w:val="left"/>
        <w:rPr>
          <w:color w:val="auto"/>
        </w:rPr>
      </w:pPr>
      <w:r w:rsidRPr="004722DB">
        <w:rPr>
          <w:noProof/>
          <w:color w:val="auto"/>
        </w:rPr>
        <w:pict>
          <v:shapetype id="_x0000_t202" coordsize="21600,21600" o:spt="202" path="m,l,21600r21600,l21600,xe">
            <v:stroke joinstyle="miter"/>
            <v:path gradientshapeok="t" o:connecttype="rect"/>
          </v:shapetype>
          <v:shape id="_x0000_s1064" type="#_x0000_t202" style="position:absolute;margin-left:13.05pt;margin-top:7.25pt;width:179.9pt;height:194.4pt;z-index:251657728" stroked="f">
            <v:textbox>
              <w:txbxContent>
                <w:p w:rsidR="004722DB" w:rsidRDefault="002B6C47" w:rsidP="004722DB">
                  <w:pPr>
                    <w:jc w:val="right"/>
                    <w:rPr>
                      <w:sz w:val="14"/>
                    </w:rPr>
                  </w:pPr>
                  <w:r>
                    <w:rPr>
                      <w:noProof/>
                      <w:sz w:val="14"/>
                    </w:rPr>
                    <w:drawing>
                      <wp:inline distT="0" distB="0" distL="0" distR="0">
                        <wp:extent cx="2095500" cy="2047875"/>
                        <wp:effectExtent l="19050" t="0" r="0" b="0"/>
                        <wp:docPr id="2" name="Picture 2" descr="Image of White brodiaea (Triteleia hyacinthi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of White brodiaea (Triteleia hyacinthina)"/>
                                <pic:cNvPicPr>
                                  <a:picLocks noChangeAspect="1" noChangeArrowheads="1"/>
                                </pic:cNvPicPr>
                              </pic:nvPicPr>
                              <pic:blipFill>
                                <a:blip r:embed="rId8"/>
                                <a:srcRect/>
                                <a:stretch>
                                  <a:fillRect/>
                                </a:stretch>
                              </pic:blipFill>
                              <pic:spPr bwMode="auto">
                                <a:xfrm>
                                  <a:off x="0" y="0"/>
                                  <a:ext cx="2095500" cy="2047875"/>
                                </a:xfrm>
                                <a:prstGeom prst="rect">
                                  <a:avLst/>
                                </a:prstGeom>
                                <a:noFill/>
                                <a:ln w="9525">
                                  <a:noFill/>
                                  <a:miter lim="800000"/>
                                  <a:headEnd/>
                                  <a:tailEnd/>
                                </a:ln>
                              </pic:spPr>
                            </pic:pic>
                          </a:graphicData>
                        </a:graphic>
                      </wp:inline>
                    </w:drawing>
                  </w:r>
                  <w:r w:rsidR="004722DB">
                    <w:rPr>
                      <w:sz w:val="14"/>
                    </w:rPr>
                    <w:t>Alfred Brousseau</w:t>
                  </w:r>
                </w:p>
                <w:p w:rsidR="004722DB" w:rsidRDefault="004722DB" w:rsidP="004722DB">
                  <w:pPr>
                    <w:jc w:val="right"/>
                    <w:rPr>
                      <w:sz w:val="14"/>
                    </w:rPr>
                  </w:pPr>
                  <w:r>
                    <w:rPr>
                      <w:sz w:val="14"/>
                    </w:rPr>
                    <w:sym w:font="Symbol" w:char="F0D3"/>
                  </w:r>
                  <w:r>
                    <w:rPr>
                      <w:sz w:val="14"/>
                    </w:rPr>
                    <w:t xml:space="preserve"> Brother Eric Vogel, St. Mary’s College</w:t>
                  </w:r>
                </w:p>
                <w:p w:rsidR="004722DB" w:rsidRDefault="004722DB" w:rsidP="004722DB">
                  <w:pPr>
                    <w:jc w:val="right"/>
                  </w:pPr>
                  <w:r>
                    <w:rPr>
                      <w:sz w:val="14"/>
                    </w:rPr>
                    <w:t>@ CalPhotos</w:t>
                  </w:r>
                </w:p>
              </w:txbxContent>
            </v:textbox>
            <w10:wrap type="topAndBottom" side="left"/>
          </v:shape>
        </w:pict>
      </w:r>
    </w:p>
    <w:p w:rsidR="004722DB" w:rsidRPr="004722DB" w:rsidRDefault="004722DB" w:rsidP="004722DB">
      <w:pPr>
        <w:pStyle w:val="Heading2"/>
        <w:jc w:val="left"/>
        <w:rPr>
          <w:bCs/>
          <w:color w:val="auto"/>
          <w:sz w:val="20"/>
        </w:rPr>
      </w:pPr>
      <w:r w:rsidRPr="004722DB">
        <w:rPr>
          <w:bCs/>
          <w:color w:val="auto"/>
          <w:sz w:val="20"/>
        </w:rPr>
        <w:t>Alternate Names</w:t>
      </w:r>
    </w:p>
    <w:p w:rsidR="004722DB" w:rsidRPr="004722DB" w:rsidRDefault="004722DB" w:rsidP="004722DB">
      <w:pPr>
        <w:pStyle w:val="PlainText"/>
        <w:rPr>
          <w:rFonts w:ascii="Times New Roman" w:hAnsi="Times New Roman"/>
        </w:rPr>
      </w:pPr>
      <w:r w:rsidRPr="004722DB">
        <w:rPr>
          <w:rFonts w:ascii="Times New Roman" w:hAnsi="Times New Roman"/>
        </w:rPr>
        <w:t>White-flowered grassnut</w:t>
      </w:r>
    </w:p>
    <w:p w:rsidR="004722DB" w:rsidRPr="004722DB" w:rsidRDefault="004722DB" w:rsidP="004722DB">
      <w:pPr>
        <w:pStyle w:val="PlainText"/>
        <w:rPr>
          <w:rFonts w:ascii="Times New Roman" w:hAnsi="Times New Roman"/>
        </w:rPr>
      </w:pPr>
    </w:p>
    <w:p w:rsidR="004722DB" w:rsidRPr="004722DB" w:rsidRDefault="004722DB" w:rsidP="004722DB">
      <w:pPr>
        <w:pStyle w:val="Heading2"/>
        <w:jc w:val="left"/>
        <w:rPr>
          <w:bCs/>
          <w:color w:val="auto"/>
          <w:sz w:val="20"/>
        </w:rPr>
      </w:pPr>
      <w:r w:rsidRPr="004722DB">
        <w:rPr>
          <w:bCs/>
          <w:color w:val="auto"/>
          <w:sz w:val="20"/>
        </w:rPr>
        <w:t>Uses</w:t>
      </w:r>
    </w:p>
    <w:p w:rsidR="004722DB" w:rsidRPr="004722DB" w:rsidRDefault="004722DB" w:rsidP="004722DB">
      <w:pPr>
        <w:pStyle w:val="PlainText"/>
        <w:rPr>
          <w:rFonts w:ascii="Times New Roman" w:hAnsi="Times New Roman"/>
        </w:rPr>
      </w:pPr>
      <w:r w:rsidRPr="004722DB">
        <w:rPr>
          <w:rFonts w:ascii="Times New Roman" w:hAnsi="Times New Roman"/>
          <w:i/>
        </w:rPr>
        <w:t>Ethnobotanic</w:t>
      </w:r>
      <w:r w:rsidRPr="004722DB">
        <w:rPr>
          <w:rFonts w:ascii="Times New Roman" w:hAnsi="Times New Roman"/>
        </w:rPr>
        <w:t>: Corms were dug with a digging stick and eaten either raw, roasted, baked in an earth oven, or boiled by tribes in California including the Southern Maidu, Northern Maidu, Washoe, Pomo, Sierra Miwok, Atsugewi, and Northern Paiute.</w:t>
      </w:r>
    </w:p>
    <w:p w:rsidR="004722DB" w:rsidRPr="004722DB" w:rsidRDefault="004722DB" w:rsidP="004722DB">
      <w:pPr>
        <w:pStyle w:val="PlainText"/>
        <w:rPr>
          <w:rFonts w:ascii="Times New Roman" w:hAnsi="Times New Roman"/>
        </w:rPr>
      </w:pPr>
    </w:p>
    <w:p w:rsidR="004722DB" w:rsidRPr="004722DB" w:rsidRDefault="004722DB" w:rsidP="004722DB">
      <w:pPr>
        <w:pStyle w:val="Heading2"/>
        <w:jc w:val="left"/>
        <w:rPr>
          <w:bCs/>
          <w:color w:val="auto"/>
          <w:sz w:val="20"/>
        </w:rPr>
      </w:pPr>
      <w:r w:rsidRPr="004722DB">
        <w:rPr>
          <w:bCs/>
          <w:color w:val="auto"/>
          <w:sz w:val="20"/>
        </w:rPr>
        <w:t>Status</w:t>
      </w:r>
    </w:p>
    <w:p w:rsidR="004722DB" w:rsidRPr="004722DB" w:rsidRDefault="004722DB" w:rsidP="004722DB">
      <w:pPr>
        <w:jc w:val="left"/>
        <w:rPr>
          <w:sz w:val="20"/>
        </w:rPr>
      </w:pPr>
      <w:r w:rsidRPr="004722DB">
        <w:rPr>
          <w:sz w:val="20"/>
        </w:rPr>
        <w:t xml:space="preserve">Please consult the PLANTS Web site and your State Department of Natural Resources for this plant’s current status, such as, state noxious status, and wetland indicator values.  </w:t>
      </w:r>
    </w:p>
    <w:p w:rsidR="004722DB" w:rsidRPr="004722DB" w:rsidRDefault="004722DB" w:rsidP="004722DB">
      <w:pPr>
        <w:pStyle w:val="PlainText"/>
        <w:rPr>
          <w:rFonts w:ascii="Times New Roman" w:hAnsi="Times New Roman"/>
        </w:rPr>
      </w:pPr>
    </w:p>
    <w:p w:rsidR="004722DB" w:rsidRPr="004722DB" w:rsidRDefault="004722DB" w:rsidP="004722DB">
      <w:pPr>
        <w:pStyle w:val="Heading2"/>
        <w:jc w:val="left"/>
        <w:rPr>
          <w:bCs/>
          <w:color w:val="auto"/>
          <w:sz w:val="20"/>
        </w:rPr>
      </w:pPr>
      <w:r w:rsidRPr="004722DB">
        <w:rPr>
          <w:bCs/>
          <w:color w:val="auto"/>
          <w:sz w:val="20"/>
        </w:rPr>
        <w:t>Description</w:t>
      </w:r>
    </w:p>
    <w:p w:rsidR="004722DB" w:rsidRPr="004722DB" w:rsidRDefault="004722DB" w:rsidP="004722DB">
      <w:pPr>
        <w:pStyle w:val="PlainText"/>
        <w:rPr>
          <w:rFonts w:ascii="Times New Roman" w:hAnsi="Times New Roman"/>
        </w:rPr>
      </w:pPr>
      <w:r w:rsidRPr="004722DB">
        <w:rPr>
          <w:rFonts w:ascii="Times New Roman" w:hAnsi="Times New Roman"/>
          <w:i/>
        </w:rPr>
        <w:t>General</w:t>
      </w:r>
      <w:r w:rsidRPr="004722DB">
        <w:rPr>
          <w:rFonts w:ascii="Times New Roman" w:hAnsi="Times New Roman"/>
        </w:rPr>
        <w:t>: Lily Family (Liliaceae).  The white or bluish-white hyacinth-like flowers are in an umbel (in a head) of capitate clusters, each with 10 to 40 flowers.  The flowers have green mid-veins.  The basal leaves are linear and grasslike and wither with flowering.  The scape is 3-6 dm tall.  This perennial plant also vegetatively propagates from tan, fibrous-coated corms.</w:t>
      </w:r>
    </w:p>
    <w:p w:rsidR="004722DB" w:rsidRPr="004722DB" w:rsidRDefault="004722DB" w:rsidP="004722DB">
      <w:pPr>
        <w:pStyle w:val="PlainText"/>
        <w:rPr>
          <w:rFonts w:ascii="Times New Roman" w:hAnsi="Times New Roman"/>
        </w:rPr>
      </w:pPr>
    </w:p>
    <w:p w:rsidR="004722DB" w:rsidRPr="004722DB" w:rsidRDefault="004722DB" w:rsidP="004722DB">
      <w:pPr>
        <w:pStyle w:val="Heading2"/>
        <w:jc w:val="left"/>
        <w:rPr>
          <w:bCs/>
          <w:color w:val="auto"/>
          <w:sz w:val="20"/>
        </w:rPr>
      </w:pPr>
      <w:r w:rsidRPr="004722DB">
        <w:rPr>
          <w:bCs/>
          <w:color w:val="auto"/>
          <w:sz w:val="20"/>
        </w:rPr>
        <w:t>Distribution</w:t>
      </w:r>
    </w:p>
    <w:p w:rsidR="004722DB" w:rsidRPr="004722DB" w:rsidRDefault="004722DB" w:rsidP="004722DB">
      <w:pPr>
        <w:jc w:val="left"/>
        <w:rPr>
          <w:sz w:val="20"/>
        </w:rPr>
      </w:pPr>
      <w:r w:rsidRPr="004722DB">
        <w:rPr>
          <w:sz w:val="20"/>
        </w:rPr>
        <w:t xml:space="preserve">For current distribution, please consult the Plant Profile page for this species on the PLANTS Web site.  The plant is found in grasslands, close-cone pine forests, foothill woodland, and vernally wet meadows from zero to 2,000 m.  The plant is found in the Central Valley, central western </w:t>
      </w:r>
      <w:smartTag w:uri="urn:schemas-microsoft-com:office:smarttags" w:element="State">
        <w:r w:rsidRPr="004722DB">
          <w:rPr>
            <w:sz w:val="20"/>
          </w:rPr>
          <w:t>California</w:t>
        </w:r>
      </w:smartTag>
      <w:r w:rsidRPr="004722DB">
        <w:rPr>
          <w:sz w:val="20"/>
        </w:rPr>
        <w:t xml:space="preserve">, the Sierra Nevada, northwestern </w:t>
      </w:r>
      <w:smartTag w:uri="urn:schemas-microsoft-com:office:smarttags" w:element="State">
        <w:r w:rsidRPr="004722DB">
          <w:rPr>
            <w:sz w:val="20"/>
          </w:rPr>
          <w:t>California</w:t>
        </w:r>
      </w:smartTag>
      <w:r w:rsidRPr="004722DB">
        <w:rPr>
          <w:sz w:val="20"/>
        </w:rPr>
        <w:t xml:space="preserve">, and the Cascade Range, up to Vancouver Island and east to </w:t>
      </w:r>
      <w:smartTag w:uri="urn:schemas-microsoft-com:office:smarttags" w:element="State">
        <w:smartTag w:uri="urn:schemas-microsoft-com:office:smarttags" w:element="place">
          <w:r w:rsidRPr="004722DB">
            <w:rPr>
              <w:sz w:val="20"/>
            </w:rPr>
            <w:t>Idaho</w:t>
          </w:r>
        </w:smartTag>
      </w:smartTag>
      <w:r w:rsidRPr="004722DB">
        <w:rPr>
          <w:sz w:val="20"/>
        </w:rPr>
        <w:t>.</w:t>
      </w:r>
    </w:p>
    <w:p w:rsidR="004722DB" w:rsidRPr="004722DB" w:rsidRDefault="004722DB" w:rsidP="004722DB">
      <w:pPr>
        <w:pStyle w:val="PlainText"/>
        <w:rPr>
          <w:rFonts w:ascii="Times New Roman" w:hAnsi="Times New Roman"/>
        </w:rPr>
      </w:pPr>
    </w:p>
    <w:p w:rsidR="004722DB" w:rsidRPr="004722DB" w:rsidRDefault="004722DB" w:rsidP="004722DB">
      <w:pPr>
        <w:pStyle w:val="Heading2"/>
        <w:jc w:val="left"/>
        <w:rPr>
          <w:bCs/>
          <w:color w:val="auto"/>
          <w:sz w:val="20"/>
        </w:rPr>
      </w:pPr>
      <w:r w:rsidRPr="004722DB">
        <w:rPr>
          <w:bCs/>
          <w:color w:val="auto"/>
          <w:sz w:val="20"/>
        </w:rPr>
        <w:t>Establishment</w:t>
      </w:r>
    </w:p>
    <w:p w:rsidR="004722DB" w:rsidRPr="004722DB" w:rsidRDefault="004722DB" w:rsidP="004722DB">
      <w:pPr>
        <w:pStyle w:val="PlainText"/>
        <w:rPr>
          <w:rFonts w:ascii="Times New Roman" w:hAnsi="Times New Roman"/>
        </w:rPr>
      </w:pPr>
      <w:r w:rsidRPr="004722DB">
        <w:rPr>
          <w:rFonts w:ascii="Times New Roman" w:hAnsi="Times New Roman"/>
        </w:rPr>
        <w:t xml:space="preserve">If possible, obtain the seed and corms from local sources to maintain genetic diversity of white brodiaea and for the best adaptation to local conditions.  Some nurseries may label their corms and seeds according to geographic source.  If planting flowering-size corms, they can be directly planted outside.  Plant the corms in the fall in full sun.  The less crowded the more the corms will offset.  Plant them 2 to 4 inches apart and 4 inches deep.  A well-drained soil that is light and loose will produce bigger corms.  Water and weed the patch regularly and protect it from small and large mammals, insects, and birds.  Keep the ground slightly damp.  If given too much water the corms will rot.  If it rains fairly regularly, don't water the area.  When the leaves on the plants have turned yellow and dried up, stop watering.  Allow the corms to summer bake.  The plants should be well established after one year.  </w:t>
      </w:r>
    </w:p>
    <w:p w:rsidR="004722DB" w:rsidRPr="004722DB" w:rsidRDefault="004722DB" w:rsidP="004722DB">
      <w:pPr>
        <w:pStyle w:val="PlainText"/>
        <w:rPr>
          <w:rFonts w:ascii="Times New Roman" w:hAnsi="Times New Roman"/>
        </w:rPr>
      </w:pPr>
    </w:p>
    <w:p w:rsidR="004722DB" w:rsidRPr="004722DB" w:rsidRDefault="004722DB" w:rsidP="004722DB">
      <w:pPr>
        <w:pStyle w:val="PlainText"/>
        <w:rPr>
          <w:rFonts w:ascii="Times New Roman" w:hAnsi="Times New Roman"/>
        </w:rPr>
      </w:pPr>
      <w:r w:rsidRPr="004722DB">
        <w:rPr>
          <w:rFonts w:ascii="Times New Roman" w:hAnsi="Times New Roman"/>
        </w:rPr>
        <w:t xml:space="preserve">If planting seeds of white brodiaea, store the seeds in a paper bag until autumn.  Plant the seeds before October 1st in a container and care for them for two years before planting them outside in the ground.  Plant the seeds in six-inch (or bigger) pots because the corms will pull themselves down to the depth they require.  Plant about 100 seeds per pot.  Place them on top of the soil and sprinkle a little soil over them and put one-quarter inch gravel on top.  Set the pots in partial shade so they won't dry out so fast.  They can be outside or in a hot house.  The seed does not need to be stratified.  Start watering the pots right away and keep them slightly damp.  Fertilize the pots in late winter and early spring and protect the plants from birds and other animals.  If the pots are outside, let the rains naturally water the pots and in a drought year, supplement with hand watering.  Stop watering as soon as the foliage of the plants turns yellow.  Resume watering the next fall, if rains are insufficient.  After the second year, separate the </w:t>
      </w:r>
      <w:r w:rsidRPr="004722DB">
        <w:rPr>
          <w:rFonts w:ascii="Times New Roman" w:hAnsi="Times New Roman"/>
        </w:rPr>
        <w:lastRenderedPageBreak/>
        <w:t>plants and transplant them two inches apart in the fall when the corms are dormant.  Then water them.  Grow them for one more year or two more years to bloom, repeating this cycle and then plant them outside in the ground in the autumn.</w:t>
      </w:r>
    </w:p>
    <w:p w:rsidR="004722DB" w:rsidRPr="004722DB" w:rsidRDefault="004722DB" w:rsidP="004722DB">
      <w:pPr>
        <w:pStyle w:val="Heading2"/>
        <w:jc w:val="left"/>
        <w:rPr>
          <w:b w:val="0"/>
          <w:bCs/>
          <w:color w:val="auto"/>
          <w:sz w:val="20"/>
        </w:rPr>
      </w:pPr>
      <w:r w:rsidRPr="004722DB">
        <w:rPr>
          <w:b w:val="0"/>
          <w:bCs/>
          <w:color w:val="auto"/>
          <w:sz w:val="20"/>
        </w:rPr>
        <w:t>Management</w:t>
      </w:r>
    </w:p>
    <w:p w:rsidR="004722DB" w:rsidRPr="004722DB" w:rsidRDefault="004722DB" w:rsidP="004722DB">
      <w:pPr>
        <w:pStyle w:val="PlainText"/>
        <w:rPr>
          <w:rFonts w:ascii="Times New Roman" w:hAnsi="Times New Roman"/>
        </w:rPr>
      </w:pPr>
      <w:r w:rsidRPr="004722DB">
        <w:rPr>
          <w:rFonts w:ascii="Times New Roman" w:hAnsi="Times New Roman"/>
        </w:rPr>
        <w:t xml:space="preserve">The area of white brodiaea will require regular weeding and the use of a very weak solution of fertilizer twice only during the active growth in the spring.  The corms can be kept from overcrowding by thinning them every three years.  This involves picking off the cormlets and replanting them elsewhere in the garden.  </w:t>
      </w:r>
    </w:p>
    <w:p w:rsidR="004722DB" w:rsidRPr="004722DB" w:rsidRDefault="004722DB" w:rsidP="004722DB">
      <w:pPr>
        <w:pStyle w:val="PlainText"/>
        <w:rPr>
          <w:rFonts w:ascii="Times New Roman" w:hAnsi="Times New Roman"/>
        </w:rPr>
      </w:pPr>
    </w:p>
    <w:p w:rsidR="004722DB" w:rsidRPr="004722DB" w:rsidRDefault="004722DB" w:rsidP="004722DB">
      <w:pPr>
        <w:pStyle w:val="PlainText"/>
        <w:rPr>
          <w:rFonts w:ascii="Times New Roman" w:hAnsi="Times New Roman"/>
        </w:rPr>
      </w:pPr>
      <w:r w:rsidRPr="004722DB">
        <w:rPr>
          <w:rFonts w:ascii="Times New Roman" w:hAnsi="Times New Roman"/>
        </w:rPr>
        <w:t>There are five major types of indigenous management activities conducted in California that were designed to ensure future corm production at traditional gathering sites: 1) conscious breaking off cormlets from the harvested parent corms and replanting them; 2) sparing whole plants; 3) harvesting the corms after plants have gone to seed and dumping the seeds on the ground; 4) burning areas; and 5) irrigation.  Periodic digging and thinning of the corms, and popping off the cormlets and replanting them may enhance grass nut numbers and densities.  Digging corms may in fact be a form of tillage, which will increase the size of the gathering tract, aerate the soil, lower weed competition, and prepare the seedbed to increase seed germination rates.  If grass nut populations require periodic disturbance to maintain and increase their populations, then indigenous harvesting regimes if reenacted, may help maintain populations.  Populations becoming overcrowded or showing reduced vigor should be thinned.</w:t>
      </w:r>
    </w:p>
    <w:p w:rsidR="004722DB" w:rsidRPr="004722DB" w:rsidRDefault="004722DB" w:rsidP="004722DB">
      <w:pPr>
        <w:pStyle w:val="PlainText"/>
        <w:rPr>
          <w:rFonts w:ascii="Times New Roman" w:hAnsi="Times New Roman"/>
        </w:rPr>
      </w:pPr>
    </w:p>
    <w:p w:rsidR="004722DB" w:rsidRPr="004722DB" w:rsidRDefault="004722DB" w:rsidP="004722DB">
      <w:pPr>
        <w:pStyle w:val="Heading2"/>
        <w:jc w:val="left"/>
        <w:rPr>
          <w:bCs/>
          <w:color w:val="auto"/>
          <w:sz w:val="20"/>
        </w:rPr>
      </w:pPr>
      <w:r w:rsidRPr="004722DB">
        <w:rPr>
          <w:bCs/>
          <w:color w:val="auto"/>
          <w:sz w:val="20"/>
        </w:rPr>
        <w:t>Cultivars, Improved and Selected Materials (and area of origin)</w:t>
      </w:r>
    </w:p>
    <w:p w:rsidR="004722DB" w:rsidRPr="004722DB" w:rsidRDefault="004722DB" w:rsidP="004722DB">
      <w:pPr>
        <w:jc w:val="left"/>
        <w:rPr>
          <w:sz w:val="20"/>
        </w:rPr>
      </w:pPr>
      <w:r w:rsidRPr="004722DB">
        <w:rPr>
          <w:sz w:val="20"/>
        </w:rPr>
        <w:t>This species is not readily available from commercial nurseries.  Contact your local Natural Resources Conservation Service (formerly Soil Conservation Service) office for more information.  Look in the phone book under ”United States Government.”  The Natural Resources Conservation Service will be listed under the subheading “Department of Agriculture.”</w:t>
      </w:r>
    </w:p>
    <w:p w:rsidR="004722DB" w:rsidRPr="004722DB" w:rsidRDefault="004722DB" w:rsidP="004722DB">
      <w:pPr>
        <w:pStyle w:val="PlainText"/>
        <w:rPr>
          <w:rFonts w:ascii="Times New Roman" w:hAnsi="Times New Roman"/>
        </w:rPr>
      </w:pPr>
    </w:p>
    <w:p w:rsidR="004722DB" w:rsidRPr="004722DB" w:rsidRDefault="004722DB" w:rsidP="004722DB">
      <w:pPr>
        <w:pStyle w:val="Heading2"/>
        <w:jc w:val="left"/>
        <w:rPr>
          <w:bCs/>
          <w:color w:val="auto"/>
          <w:sz w:val="20"/>
        </w:rPr>
      </w:pPr>
      <w:r w:rsidRPr="004722DB">
        <w:rPr>
          <w:bCs/>
          <w:color w:val="auto"/>
          <w:sz w:val="20"/>
        </w:rPr>
        <w:t>References</w:t>
      </w:r>
    </w:p>
    <w:p w:rsidR="004722DB" w:rsidRPr="004722DB" w:rsidRDefault="004722DB" w:rsidP="004722DB">
      <w:pPr>
        <w:pStyle w:val="PlainText"/>
        <w:rPr>
          <w:rFonts w:ascii="Times New Roman" w:hAnsi="Times New Roman"/>
        </w:rPr>
      </w:pPr>
      <w:smartTag w:uri="urn:schemas-microsoft-com:office:smarttags" w:element="place">
        <w:smartTag w:uri="urn:schemas-microsoft-com:office:smarttags" w:element="City">
          <w:r w:rsidRPr="004722DB">
            <w:rPr>
              <w:rFonts w:ascii="Times New Roman" w:hAnsi="Times New Roman"/>
            </w:rPr>
            <w:t>Anderson</w:t>
          </w:r>
        </w:smartTag>
      </w:smartTag>
      <w:r w:rsidRPr="004722DB">
        <w:rPr>
          <w:rFonts w:ascii="Times New Roman" w:hAnsi="Times New Roman"/>
        </w:rPr>
        <w:t xml:space="preserve">, M.K. &amp; D.L. Rowney 1998.  </w:t>
      </w:r>
      <w:r w:rsidRPr="004722DB">
        <w:rPr>
          <w:rFonts w:ascii="Times New Roman" w:hAnsi="Times New Roman"/>
          <w:i/>
        </w:rPr>
        <w:t>California geophytes:  their ecology, ethnobotany, and conservation</w:t>
      </w:r>
      <w:r w:rsidRPr="004722DB">
        <w:rPr>
          <w:rFonts w:ascii="Times New Roman" w:hAnsi="Times New Roman"/>
        </w:rPr>
        <w:t>.  Fremontia 26(1):12-18.</w:t>
      </w:r>
    </w:p>
    <w:p w:rsidR="004722DB" w:rsidRPr="004722DB" w:rsidRDefault="004722DB" w:rsidP="004722DB">
      <w:pPr>
        <w:pStyle w:val="PlainText"/>
        <w:rPr>
          <w:rFonts w:ascii="Times New Roman" w:hAnsi="Times New Roman"/>
        </w:rPr>
      </w:pPr>
    </w:p>
    <w:p w:rsidR="004722DB" w:rsidRPr="004722DB" w:rsidRDefault="004722DB" w:rsidP="004722DB">
      <w:pPr>
        <w:pStyle w:val="PlainText"/>
        <w:rPr>
          <w:rFonts w:ascii="Times New Roman" w:hAnsi="Times New Roman"/>
        </w:rPr>
      </w:pPr>
      <w:smartTag w:uri="urn:schemas-microsoft-com:office:smarttags" w:element="place">
        <w:smartTag w:uri="urn:schemas-microsoft-com:office:smarttags" w:element="City">
          <w:r w:rsidRPr="004722DB">
            <w:rPr>
              <w:rFonts w:ascii="Times New Roman" w:hAnsi="Times New Roman"/>
            </w:rPr>
            <w:t>Barrett</w:t>
          </w:r>
        </w:smartTag>
        <w:r w:rsidRPr="004722DB">
          <w:rPr>
            <w:rFonts w:ascii="Times New Roman" w:hAnsi="Times New Roman"/>
          </w:rPr>
          <w:t xml:space="preserve">, </w:t>
        </w:r>
        <w:smartTag w:uri="urn:schemas-microsoft-com:office:smarttags" w:element="country-region">
          <w:r w:rsidRPr="004722DB">
            <w:rPr>
              <w:rFonts w:ascii="Times New Roman" w:hAnsi="Times New Roman"/>
            </w:rPr>
            <w:t>S.A.</w:t>
          </w:r>
        </w:smartTag>
      </w:smartTag>
      <w:r w:rsidRPr="004722DB">
        <w:rPr>
          <w:rFonts w:ascii="Times New Roman" w:hAnsi="Times New Roman"/>
        </w:rPr>
        <w:t xml:space="preserve"> and E.W. Gifford. 1933.  </w:t>
      </w:r>
      <w:r w:rsidRPr="004722DB">
        <w:rPr>
          <w:rFonts w:ascii="Times New Roman" w:hAnsi="Times New Roman"/>
          <w:i/>
        </w:rPr>
        <w:t>Miwok material culture</w:t>
      </w:r>
      <w:r w:rsidRPr="004722DB">
        <w:rPr>
          <w:rFonts w:ascii="Times New Roman" w:hAnsi="Times New Roman"/>
        </w:rPr>
        <w:t xml:space="preserve">.  Bulletin of the </w:t>
      </w:r>
      <w:smartTag w:uri="urn:schemas-microsoft-com:office:smarttags" w:element="PlaceName">
        <w:r w:rsidRPr="004722DB">
          <w:rPr>
            <w:rFonts w:ascii="Times New Roman" w:hAnsi="Times New Roman"/>
          </w:rPr>
          <w:t>Public</w:t>
        </w:r>
      </w:smartTag>
      <w:r w:rsidRPr="004722DB">
        <w:rPr>
          <w:rFonts w:ascii="Times New Roman" w:hAnsi="Times New Roman"/>
        </w:rPr>
        <w:t xml:space="preserve"> </w:t>
      </w:r>
      <w:smartTag w:uri="urn:schemas-microsoft-com:office:smarttags" w:element="PlaceType">
        <w:r w:rsidRPr="004722DB">
          <w:rPr>
            <w:rFonts w:ascii="Times New Roman" w:hAnsi="Times New Roman"/>
          </w:rPr>
          <w:t>Museum</w:t>
        </w:r>
      </w:smartTag>
      <w:r w:rsidRPr="004722DB">
        <w:rPr>
          <w:rFonts w:ascii="Times New Roman" w:hAnsi="Times New Roman"/>
        </w:rPr>
        <w:t xml:space="preserve"> of the City of </w:t>
      </w:r>
      <w:smartTag w:uri="urn:schemas-microsoft-com:office:smarttags" w:element="City">
        <w:smartTag w:uri="urn:schemas-microsoft-com:office:smarttags" w:element="place">
          <w:r w:rsidRPr="004722DB">
            <w:rPr>
              <w:rFonts w:ascii="Times New Roman" w:hAnsi="Times New Roman"/>
            </w:rPr>
            <w:t>Milwaukee</w:t>
          </w:r>
        </w:smartTag>
      </w:smartTag>
      <w:r w:rsidRPr="004722DB">
        <w:rPr>
          <w:rFonts w:ascii="Times New Roman" w:hAnsi="Times New Roman"/>
        </w:rPr>
        <w:t xml:space="preserve"> 2(4):117-376.</w:t>
      </w:r>
    </w:p>
    <w:p w:rsidR="004722DB" w:rsidRPr="004722DB" w:rsidRDefault="004722DB" w:rsidP="004722DB">
      <w:pPr>
        <w:pStyle w:val="PlainText"/>
        <w:rPr>
          <w:rFonts w:ascii="Times New Roman" w:hAnsi="Times New Roman"/>
        </w:rPr>
      </w:pPr>
    </w:p>
    <w:p w:rsidR="004722DB" w:rsidRPr="004722DB" w:rsidRDefault="004722DB" w:rsidP="004722DB">
      <w:pPr>
        <w:pStyle w:val="PlainText"/>
        <w:rPr>
          <w:rFonts w:ascii="Times New Roman" w:hAnsi="Times New Roman"/>
        </w:rPr>
      </w:pPr>
      <w:r w:rsidRPr="004722DB">
        <w:rPr>
          <w:rFonts w:ascii="Times New Roman" w:hAnsi="Times New Roman"/>
        </w:rPr>
        <w:lastRenderedPageBreak/>
        <w:t xml:space="preserve">Chestnut, V.K. 1902.  </w:t>
      </w:r>
      <w:r w:rsidRPr="004722DB">
        <w:rPr>
          <w:rFonts w:ascii="Times New Roman" w:hAnsi="Times New Roman"/>
          <w:i/>
        </w:rPr>
        <w:t>Plants used by the Indians of Mendocino County, California</w:t>
      </w:r>
      <w:r w:rsidRPr="004722DB">
        <w:rPr>
          <w:rFonts w:ascii="Times New Roman" w:hAnsi="Times New Roman"/>
        </w:rPr>
        <w:t xml:space="preserve">.  Contributions from the </w:t>
      </w:r>
      <w:smartTag w:uri="urn:schemas-microsoft-com:office:smarttags" w:element="country-region">
        <w:smartTag w:uri="urn:schemas-microsoft-com:office:smarttags" w:element="place">
          <w:r w:rsidRPr="004722DB">
            <w:rPr>
              <w:rFonts w:ascii="Times New Roman" w:hAnsi="Times New Roman"/>
            </w:rPr>
            <w:t>United States</w:t>
          </w:r>
        </w:smartTag>
      </w:smartTag>
      <w:r w:rsidRPr="004722DB">
        <w:rPr>
          <w:rFonts w:ascii="Times New Roman" w:hAnsi="Times New Roman"/>
        </w:rPr>
        <w:t xml:space="preserve"> National Herbarium, Government Printing Office 1900-1902.  Vol 7:295-422.  Reprinted in 1974 by the </w:t>
      </w:r>
      <w:smartTag w:uri="urn:schemas-microsoft-com:office:smarttags" w:element="PlaceName">
        <w:r w:rsidRPr="004722DB">
          <w:rPr>
            <w:rFonts w:ascii="Times New Roman" w:hAnsi="Times New Roman"/>
          </w:rPr>
          <w:t>Mendocino</w:t>
        </w:r>
      </w:smartTag>
      <w:r w:rsidRPr="004722DB">
        <w:rPr>
          <w:rFonts w:ascii="Times New Roman" w:hAnsi="Times New Roman"/>
        </w:rPr>
        <w:t xml:space="preserve"> </w:t>
      </w:r>
      <w:smartTag w:uri="urn:schemas-microsoft-com:office:smarttags" w:element="PlaceType">
        <w:r w:rsidRPr="004722DB">
          <w:rPr>
            <w:rFonts w:ascii="Times New Roman" w:hAnsi="Times New Roman"/>
          </w:rPr>
          <w:t>County</w:t>
        </w:r>
      </w:smartTag>
      <w:r w:rsidRPr="004722DB">
        <w:rPr>
          <w:rFonts w:ascii="Times New Roman" w:hAnsi="Times New Roman"/>
        </w:rPr>
        <w:t xml:space="preserve"> Historical Society Inc., </w:t>
      </w:r>
      <w:smartTag w:uri="urn:schemas-microsoft-com:office:smarttags" w:element="place">
        <w:smartTag w:uri="urn:schemas-microsoft-com:office:smarttags" w:element="City">
          <w:r w:rsidRPr="004722DB">
            <w:rPr>
              <w:rFonts w:ascii="Times New Roman" w:hAnsi="Times New Roman"/>
            </w:rPr>
            <w:t>Fort Bragg</w:t>
          </w:r>
        </w:smartTag>
        <w:r w:rsidRPr="004722DB">
          <w:rPr>
            <w:rFonts w:ascii="Times New Roman" w:hAnsi="Times New Roman"/>
          </w:rPr>
          <w:t xml:space="preserve">, </w:t>
        </w:r>
        <w:smartTag w:uri="urn:schemas-microsoft-com:office:smarttags" w:element="State">
          <w:r w:rsidRPr="004722DB">
            <w:rPr>
              <w:rFonts w:ascii="Times New Roman" w:hAnsi="Times New Roman"/>
            </w:rPr>
            <w:t>California</w:t>
          </w:r>
        </w:smartTag>
      </w:smartTag>
      <w:r w:rsidRPr="004722DB">
        <w:rPr>
          <w:rFonts w:ascii="Times New Roman" w:hAnsi="Times New Roman"/>
        </w:rPr>
        <w:t>.</w:t>
      </w:r>
    </w:p>
    <w:p w:rsidR="004722DB" w:rsidRPr="004722DB" w:rsidRDefault="004722DB" w:rsidP="004722DB">
      <w:pPr>
        <w:pStyle w:val="PlainText"/>
        <w:rPr>
          <w:rFonts w:ascii="Times New Roman" w:hAnsi="Times New Roman"/>
        </w:rPr>
      </w:pPr>
    </w:p>
    <w:p w:rsidR="004722DB" w:rsidRPr="004722DB" w:rsidRDefault="004722DB" w:rsidP="004722DB">
      <w:pPr>
        <w:pStyle w:val="PlainText"/>
        <w:rPr>
          <w:rFonts w:ascii="Times New Roman" w:hAnsi="Times New Roman"/>
        </w:rPr>
      </w:pPr>
      <w:r w:rsidRPr="004722DB">
        <w:rPr>
          <w:rFonts w:ascii="Times New Roman" w:hAnsi="Times New Roman"/>
        </w:rPr>
        <w:t xml:space="preserve">Fowler, C.S. 1986.  </w:t>
      </w:r>
      <w:r w:rsidRPr="004722DB">
        <w:rPr>
          <w:rFonts w:ascii="Times New Roman" w:hAnsi="Times New Roman"/>
          <w:i/>
        </w:rPr>
        <w:t>Subsistence</w:t>
      </w:r>
      <w:r w:rsidRPr="004722DB">
        <w:rPr>
          <w:rFonts w:ascii="Times New Roman" w:hAnsi="Times New Roman"/>
        </w:rPr>
        <w:t xml:space="preserve">.   pp. 64-97.  IN: Handbook of North American Indians Vol. 11 </w:t>
      </w:r>
      <w:smartTag w:uri="urn:schemas-microsoft-com:office:smarttags" w:element="place">
        <w:r w:rsidRPr="004722DB">
          <w:rPr>
            <w:rFonts w:ascii="Times New Roman" w:hAnsi="Times New Roman"/>
          </w:rPr>
          <w:t>Great Basin</w:t>
        </w:r>
      </w:smartTag>
      <w:r w:rsidRPr="004722DB">
        <w:rPr>
          <w:rFonts w:ascii="Times New Roman" w:hAnsi="Times New Roman"/>
        </w:rPr>
        <w:t xml:space="preserve">. Warren L. D'Azevedo [Ed.]. Smithsonian Institution, </w:t>
      </w:r>
      <w:smartTag w:uri="urn:schemas-microsoft-com:office:smarttags" w:element="place">
        <w:smartTag w:uri="urn:schemas-microsoft-com:office:smarttags" w:element="City">
          <w:r w:rsidRPr="004722DB">
            <w:rPr>
              <w:rFonts w:ascii="Times New Roman" w:hAnsi="Times New Roman"/>
            </w:rPr>
            <w:t>Washington</w:t>
          </w:r>
        </w:smartTag>
        <w:r w:rsidRPr="004722DB">
          <w:rPr>
            <w:rFonts w:ascii="Times New Roman" w:hAnsi="Times New Roman"/>
          </w:rPr>
          <w:t xml:space="preserve">, </w:t>
        </w:r>
        <w:smartTag w:uri="urn:schemas-microsoft-com:office:smarttags" w:element="State">
          <w:r w:rsidRPr="004722DB">
            <w:rPr>
              <w:rFonts w:ascii="Times New Roman" w:hAnsi="Times New Roman"/>
            </w:rPr>
            <w:t>D.C.</w:t>
          </w:r>
        </w:smartTag>
      </w:smartTag>
    </w:p>
    <w:p w:rsidR="004722DB" w:rsidRPr="004722DB" w:rsidRDefault="004722DB" w:rsidP="004722DB">
      <w:pPr>
        <w:pStyle w:val="PlainText"/>
        <w:rPr>
          <w:rFonts w:ascii="Times New Roman" w:hAnsi="Times New Roman"/>
        </w:rPr>
      </w:pPr>
    </w:p>
    <w:p w:rsidR="004722DB" w:rsidRPr="004722DB" w:rsidRDefault="004722DB" w:rsidP="004722DB">
      <w:pPr>
        <w:pStyle w:val="PlainText"/>
        <w:rPr>
          <w:rFonts w:ascii="Times New Roman" w:hAnsi="Times New Roman"/>
        </w:rPr>
      </w:pPr>
      <w:r w:rsidRPr="004722DB">
        <w:rPr>
          <w:rFonts w:ascii="Times New Roman" w:hAnsi="Times New Roman"/>
        </w:rPr>
        <w:t xml:space="preserve">Garth, T.R. 1953.  </w:t>
      </w:r>
      <w:r w:rsidRPr="004722DB">
        <w:rPr>
          <w:rFonts w:ascii="Times New Roman" w:hAnsi="Times New Roman"/>
          <w:i/>
        </w:rPr>
        <w:t>Atsugewi ethnography</w:t>
      </w:r>
      <w:r w:rsidRPr="004722DB">
        <w:rPr>
          <w:rFonts w:ascii="Times New Roman" w:hAnsi="Times New Roman"/>
        </w:rPr>
        <w:t>.  UCPAR 14(2):129-212.</w:t>
      </w:r>
    </w:p>
    <w:p w:rsidR="004722DB" w:rsidRPr="004722DB" w:rsidRDefault="004722DB" w:rsidP="004722DB">
      <w:pPr>
        <w:pStyle w:val="PlainText"/>
        <w:rPr>
          <w:rFonts w:ascii="Times New Roman" w:hAnsi="Times New Roman"/>
        </w:rPr>
      </w:pPr>
    </w:p>
    <w:p w:rsidR="004722DB" w:rsidRPr="004722DB" w:rsidRDefault="004722DB" w:rsidP="004722DB">
      <w:pPr>
        <w:pStyle w:val="PlainText"/>
        <w:rPr>
          <w:rFonts w:ascii="Times New Roman" w:hAnsi="Times New Roman"/>
        </w:rPr>
      </w:pPr>
      <w:r w:rsidRPr="004722DB">
        <w:rPr>
          <w:rFonts w:ascii="Times New Roman" w:hAnsi="Times New Roman"/>
        </w:rPr>
        <w:t xml:space="preserve">Keator, G. 1993.  </w:t>
      </w:r>
      <w:r w:rsidRPr="004722DB">
        <w:rPr>
          <w:rFonts w:ascii="Times New Roman" w:hAnsi="Times New Roman"/>
          <w:i/>
        </w:rPr>
        <w:t>Triteleia</w:t>
      </w:r>
      <w:r w:rsidRPr="004722DB">
        <w:rPr>
          <w:rFonts w:ascii="Times New Roman" w:hAnsi="Times New Roman"/>
        </w:rPr>
        <w:t xml:space="preserve">.   pp. 1206-1208.  IN: The Jepson Manual: Higher Plants of </w:t>
      </w:r>
      <w:smartTag w:uri="urn:schemas-microsoft-com:office:smarttags" w:element="State">
        <w:smartTag w:uri="urn:schemas-microsoft-com:office:smarttags" w:element="place">
          <w:r w:rsidRPr="004722DB">
            <w:rPr>
              <w:rFonts w:ascii="Times New Roman" w:hAnsi="Times New Roman"/>
            </w:rPr>
            <w:t>California</w:t>
          </w:r>
        </w:smartTag>
      </w:smartTag>
      <w:r w:rsidRPr="004722DB">
        <w:rPr>
          <w:rFonts w:ascii="Times New Roman" w:hAnsi="Times New Roman"/>
        </w:rPr>
        <w:t xml:space="preserve">. J.C. Hickman (ed.). </w:t>
      </w:r>
      <w:smartTag w:uri="urn:schemas-microsoft-com:office:smarttags" w:element="PlaceType">
        <w:r w:rsidRPr="004722DB">
          <w:rPr>
            <w:rFonts w:ascii="Times New Roman" w:hAnsi="Times New Roman"/>
          </w:rPr>
          <w:t>University</w:t>
        </w:r>
      </w:smartTag>
      <w:r w:rsidRPr="004722DB">
        <w:rPr>
          <w:rFonts w:ascii="Times New Roman" w:hAnsi="Times New Roman"/>
        </w:rPr>
        <w:t xml:space="preserve"> of </w:t>
      </w:r>
      <w:smartTag w:uri="urn:schemas-microsoft-com:office:smarttags" w:element="PlaceName">
        <w:r w:rsidRPr="004722DB">
          <w:rPr>
            <w:rFonts w:ascii="Times New Roman" w:hAnsi="Times New Roman"/>
          </w:rPr>
          <w:t>California</w:t>
        </w:r>
      </w:smartTag>
      <w:r w:rsidRPr="004722DB">
        <w:rPr>
          <w:rFonts w:ascii="Times New Roman" w:hAnsi="Times New Roman"/>
        </w:rPr>
        <w:t xml:space="preserve"> Press, </w:t>
      </w:r>
      <w:smartTag w:uri="urn:schemas-microsoft-com:office:smarttags" w:element="place">
        <w:smartTag w:uri="urn:schemas-microsoft-com:office:smarttags" w:element="City">
          <w:r w:rsidRPr="004722DB">
            <w:rPr>
              <w:rFonts w:ascii="Times New Roman" w:hAnsi="Times New Roman"/>
            </w:rPr>
            <w:t>Berkeley</w:t>
          </w:r>
        </w:smartTag>
        <w:r w:rsidRPr="004722DB">
          <w:rPr>
            <w:rFonts w:ascii="Times New Roman" w:hAnsi="Times New Roman"/>
          </w:rPr>
          <w:t xml:space="preserve">, </w:t>
        </w:r>
        <w:smartTag w:uri="urn:schemas-microsoft-com:office:smarttags" w:element="State">
          <w:r w:rsidRPr="004722DB">
            <w:rPr>
              <w:rFonts w:ascii="Times New Roman" w:hAnsi="Times New Roman"/>
            </w:rPr>
            <w:t>California</w:t>
          </w:r>
        </w:smartTag>
      </w:smartTag>
      <w:r w:rsidRPr="004722DB">
        <w:rPr>
          <w:rFonts w:ascii="Times New Roman" w:hAnsi="Times New Roman"/>
        </w:rPr>
        <w:t>.</w:t>
      </w:r>
    </w:p>
    <w:p w:rsidR="004722DB" w:rsidRPr="004722DB" w:rsidRDefault="004722DB" w:rsidP="004722DB">
      <w:pPr>
        <w:pStyle w:val="PlainText"/>
        <w:rPr>
          <w:rFonts w:ascii="Times New Roman" w:hAnsi="Times New Roman"/>
        </w:rPr>
      </w:pPr>
    </w:p>
    <w:p w:rsidR="004722DB" w:rsidRPr="004722DB" w:rsidRDefault="004722DB" w:rsidP="004722DB">
      <w:pPr>
        <w:pStyle w:val="PlainText"/>
        <w:rPr>
          <w:rFonts w:ascii="Times New Roman" w:hAnsi="Times New Roman"/>
        </w:rPr>
      </w:pPr>
      <w:r w:rsidRPr="004722DB">
        <w:rPr>
          <w:rFonts w:ascii="Times New Roman" w:hAnsi="Times New Roman"/>
        </w:rPr>
        <w:t xml:space="preserve">Powers, S. 1976.  </w:t>
      </w:r>
      <w:r w:rsidRPr="004722DB">
        <w:rPr>
          <w:rFonts w:ascii="Times New Roman" w:hAnsi="Times New Roman"/>
          <w:i/>
        </w:rPr>
        <w:t xml:space="preserve">Tribes of </w:t>
      </w:r>
      <w:smartTag w:uri="urn:schemas-microsoft-com:office:smarttags" w:element="place">
        <w:smartTag w:uri="urn:schemas-microsoft-com:office:smarttags" w:element="State">
          <w:r w:rsidRPr="004722DB">
            <w:rPr>
              <w:rFonts w:ascii="Times New Roman" w:hAnsi="Times New Roman"/>
              <w:i/>
            </w:rPr>
            <w:t>California</w:t>
          </w:r>
        </w:smartTag>
      </w:smartTag>
      <w:r w:rsidRPr="004722DB">
        <w:rPr>
          <w:rFonts w:ascii="Times New Roman" w:hAnsi="Times New Roman"/>
        </w:rPr>
        <w:t xml:space="preserve">.  </w:t>
      </w:r>
      <w:smartTag w:uri="urn:schemas-microsoft-com:office:smarttags" w:element="place">
        <w:smartTag w:uri="urn:schemas-microsoft-com:office:smarttags" w:element="PlaceType">
          <w:r w:rsidRPr="004722DB">
            <w:rPr>
              <w:rFonts w:ascii="Times New Roman" w:hAnsi="Times New Roman"/>
            </w:rPr>
            <w:t>University</w:t>
          </w:r>
        </w:smartTag>
        <w:r w:rsidRPr="004722DB">
          <w:rPr>
            <w:rFonts w:ascii="Times New Roman" w:hAnsi="Times New Roman"/>
          </w:rPr>
          <w:t xml:space="preserve"> of </w:t>
        </w:r>
        <w:smartTag w:uri="urn:schemas-microsoft-com:office:smarttags" w:element="PlaceName">
          <w:r w:rsidRPr="004722DB">
            <w:rPr>
              <w:rFonts w:ascii="Times New Roman" w:hAnsi="Times New Roman"/>
            </w:rPr>
            <w:t>California</w:t>
          </w:r>
        </w:smartTag>
      </w:smartTag>
      <w:r w:rsidRPr="004722DB">
        <w:rPr>
          <w:rFonts w:ascii="Times New Roman" w:hAnsi="Times New Roman"/>
        </w:rPr>
        <w:t xml:space="preserve"> Press. </w:t>
      </w:r>
      <w:smartTag w:uri="urn:schemas-microsoft-com:office:smarttags" w:element="place">
        <w:smartTag w:uri="urn:schemas-microsoft-com:office:smarttags" w:element="City">
          <w:r w:rsidRPr="004722DB">
            <w:rPr>
              <w:rFonts w:ascii="Times New Roman" w:hAnsi="Times New Roman"/>
            </w:rPr>
            <w:t>Berkeley</w:t>
          </w:r>
        </w:smartTag>
        <w:r w:rsidRPr="004722DB">
          <w:rPr>
            <w:rFonts w:ascii="Times New Roman" w:hAnsi="Times New Roman"/>
          </w:rPr>
          <w:t xml:space="preserve">, </w:t>
        </w:r>
        <w:smartTag w:uri="urn:schemas-microsoft-com:office:smarttags" w:element="State">
          <w:r w:rsidRPr="004722DB">
            <w:rPr>
              <w:rFonts w:ascii="Times New Roman" w:hAnsi="Times New Roman"/>
            </w:rPr>
            <w:t>California</w:t>
          </w:r>
        </w:smartTag>
      </w:smartTag>
      <w:r w:rsidRPr="004722DB">
        <w:rPr>
          <w:rFonts w:ascii="Times New Roman" w:hAnsi="Times New Roman"/>
        </w:rPr>
        <w:t>.  480 pp.</w:t>
      </w:r>
    </w:p>
    <w:p w:rsidR="004722DB" w:rsidRPr="004722DB" w:rsidRDefault="004722DB" w:rsidP="004722DB">
      <w:pPr>
        <w:jc w:val="left"/>
        <w:rPr>
          <w:sz w:val="20"/>
        </w:rPr>
      </w:pPr>
    </w:p>
    <w:p w:rsidR="004722DB" w:rsidRPr="004722DB" w:rsidRDefault="004722DB" w:rsidP="004722DB">
      <w:pPr>
        <w:pStyle w:val="Heading2"/>
        <w:jc w:val="left"/>
        <w:rPr>
          <w:bCs/>
          <w:color w:val="auto"/>
          <w:sz w:val="20"/>
        </w:rPr>
      </w:pPr>
      <w:r w:rsidRPr="004722DB">
        <w:rPr>
          <w:bCs/>
          <w:color w:val="auto"/>
          <w:sz w:val="20"/>
        </w:rPr>
        <w:t>Prepared By &amp; Species Coordinators</w:t>
      </w:r>
    </w:p>
    <w:p w:rsidR="004722DB" w:rsidRPr="004722DB" w:rsidRDefault="004722DB" w:rsidP="004722DB">
      <w:pPr>
        <w:pStyle w:val="PlainText"/>
        <w:rPr>
          <w:rFonts w:ascii="Times New Roman" w:hAnsi="Times New Roman"/>
          <w:i/>
        </w:rPr>
      </w:pPr>
      <w:r w:rsidRPr="004722DB">
        <w:rPr>
          <w:rFonts w:ascii="Times New Roman" w:hAnsi="Times New Roman"/>
          <w:i/>
        </w:rPr>
        <w:t>M. Kat Anderson</w:t>
      </w:r>
    </w:p>
    <w:p w:rsidR="004722DB" w:rsidRPr="004722DB" w:rsidRDefault="004722DB" w:rsidP="004722DB">
      <w:pPr>
        <w:pStyle w:val="PlainText"/>
        <w:rPr>
          <w:rFonts w:ascii="Times New Roman" w:hAnsi="Times New Roman"/>
        </w:rPr>
      </w:pPr>
      <w:r w:rsidRPr="004722DB">
        <w:rPr>
          <w:rFonts w:ascii="Times New Roman" w:hAnsi="Times New Roman"/>
        </w:rPr>
        <w:t xml:space="preserve">USDA, NRCS, </w:t>
      </w:r>
      <w:smartTag w:uri="urn:schemas-microsoft-com:office:smarttags" w:element="place">
        <w:smartTag w:uri="urn:schemas-microsoft-com:office:smarttags" w:element="PlaceName">
          <w:r w:rsidRPr="004722DB">
            <w:rPr>
              <w:rFonts w:ascii="Times New Roman" w:hAnsi="Times New Roman"/>
            </w:rPr>
            <w:t>National</w:t>
          </w:r>
        </w:smartTag>
        <w:r w:rsidRPr="004722DB">
          <w:rPr>
            <w:rFonts w:ascii="Times New Roman" w:hAnsi="Times New Roman"/>
          </w:rPr>
          <w:t xml:space="preserve"> </w:t>
        </w:r>
        <w:smartTag w:uri="urn:schemas-microsoft-com:office:smarttags" w:element="PlaceName">
          <w:r w:rsidRPr="004722DB">
            <w:rPr>
              <w:rFonts w:ascii="Times New Roman" w:hAnsi="Times New Roman"/>
            </w:rPr>
            <w:t>Plant</w:t>
          </w:r>
        </w:smartTag>
        <w:r w:rsidRPr="004722DB">
          <w:rPr>
            <w:rFonts w:ascii="Times New Roman" w:hAnsi="Times New Roman"/>
          </w:rPr>
          <w:t xml:space="preserve"> </w:t>
        </w:r>
        <w:smartTag w:uri="urn:schemas-microsoft-com:office:smarttags" w:element="PlaceName">
          <w:r w:rsidRPr="004722DB">
            <w:rPr>
              <w:rFonts w:ascii="Times New Roman" w:hAnsi="Times New Roman"/>
            </w:rPr>
            <w:t>Data</w:t>
          </w:r>
        </w:smartTag>
        <w:r w:rsidRPr="004722DB">
          <w:rPr>
            <w:rFonts w:ascii="Times New Roman" w:hAnsi="Times New Roman"/>
          </w:rPr>
          <w:t xml:space="preserve"> </w:t>
        </w:r>
        <w:smartTag w:uri="urn:schemas-microsoft-com:office:smarttags" w:element="PlaceType">
          <w:r w:rsidRPr="004722DB">
            <w:rPr>
              <w:rFonts w:ascii="Times New Roman" w:hAnsi="Times New Roman"/>
            </w:rPr>
            <w:t>Center</w:t>
          </w:r>
        </w:smartTag>
      </w:smartTag>
    </w:p>
    <w:p w:rsidR="004722DB" w:rsidRPr="004722DB" w:rsidRDefault="004722DB" w:rsidP="004722DB">
      <w:pPr>
        <w:pStyle w:val="PlainText"/>
        <w:rPr>
          <w:rFonts w:ascii="Times New Roman" w:hAnsi="Times New Roman"/>
        </w:rPr>
      </w:pPr>
      <w:r w:rsidRPr="004722DB">
        <w:rPr>
          <w:rFonts w:ascii="Times New Roman" w:hAnsi="Times New Roman"/>
        </w:rPr>
        <w:t xml:space="preserve">c/o Environmental Horticulture Department, </w:t>
      </w:r>
      <w:smartTag w:uri="urn:schemas-microsoft-com:office:smarttags" w:element="PlaceType">
        <w:r w:rsidRPr="004722DB">
          <w:rPr>
            <w:rFonts w:ascii="Times New Roman" w:hAnsi="Times New Roman"/>
          </w:rPr>
          <w:t>University</w:t>
        </w:r>
      </w:smartTag>
      <w:r w:rsidRPr="004722DB">
        <w:rPr>
          <w:rFonts w:ascii="Times New Roman" w:hAnsi="Times New Roman"/>
        </w:rPr>
        <w:t xml:space="preserve"> of </w:t>
      </w:r>
      <w:smartTag w:uri="urn:schemas-microsoft-com:office:smarttags" w:element="PlaceName">
        <w:r w:rsidRPr="004722DB">
          <w:rPr>
            <w:rFonts w:ascii="Times New Roman" w:hAnsi="Times New Roman"/>
          </w:rPr>
          <w:t>California</w:t>
        </w:r>
      </w:smartTag>
      <w:r w:rsidRPr="004722DB">
        <w:rPr>
          <w:rFonts w:ascii="Times New Roman" w:hAnsi="Times New Roman"/>
        </w:rPr>
        <w:t xml:space="preserve">, </w:t>
      </w:r>
      <w:smartTag w:uri="urn:schemas-microsoft-com:office:smarttags" w:element="place">
        <w:smartTag w:uri="urn:schemas-microsoft-com:office:smarttags" w:element="City">
          <w:r w:rsidRPr="004722DB">
            <w:rPr>
              <w:rFonts w:ascii="Times New Roman" w:hAnsi="Times New Roman"/>
            </w:rPr>
            <w:t>Davis</w:t>
          </w:r>
        </w:smartTag>
        <w:r w:rsidRPr="004722DB">
          <w:rPr>
            <w:rFonts w:ascii="Times New Roman" w:hAnsi="Times New Roman"/>
          </w:rPr>
          <w:t xml:space="preserve">, </w:t>
        </w:r>
        <w:smartTag w:uri="urn:schemas-microsoft-com:office:smarttags" w:element="State">
          <w:r w:rsidRPr="004722DB">
            <w:rPr>
              <w:rFonts w:ascii="Times New Roman" w:hAnsi="Times New Roman"/>
            </w:rPr>
            <w:t>California</w:t>
          </w:r>
        </w:smartTag>
      </w:smartTag>
    </w:p>
    <w:p w:rsidR="004722DB" w:rsidRPr="004722DB" w:rsidRDefault="004722DB" w:rsidP="004722DB">
      <w:pPr>
        <w:pStyle w:val="PlainText"/>
        <w:rPr>
          <w:rFonts w:ascii="Times New Roman" w:hAnsi="Times New Roman"/>
        </w:rPr>
      </w:pPr>
    </w:p>
    <w:p w:rsidR="004722DB" w:rsidRPr="004722DB" w:rsidRDefault="004722DB" w:rsidP="004722DB">
      <w:pPr>
        <w:pStyle w:val="PlainText"/>
        <w:rPr>
          <w:rFonts w:ascii="Times New Roman" w:hAnsi="Times New Roman"/>
          <w:i/>
        </w:rPr>
      </w:pPr>
      <w:r w:rsidRPr="004722DB">
        <w:rPr>
          <w:rFonts w:ascii="Times New Roman" w:hAnsi="Times New Roman"/>
          <w:i/>
        </w:rPr>
        <w:t>Wayne Roderick</w:t>
      </w:r>
    </w:p>
    <w:p w:rsidR="004722DB" w:rsidRPr="004722DB" w:rsidRDefault="004722DB" w:rsidP="004722DB">
      <w:pPr>
        <w:pStyle w:val="PlainText"/>
        <w:rPr>
          <w:rFonts w:ascii="Times New Roman" w:hAnsi="Times New Roman"/>
        </w:rPr>
      </w:pPr>
      <w:r w:rsidRPr="004722DB">
        <w:rPr>
          <w:rFonts w:ascii="Times New Roman" w:hAnsi="Times New Roman"/>
        </w:rPr>
        <w:t xml:space="preserve">Former Director of the </w:t>
      </w:r>
      <w:smartTag w:uri="urn:schemas-microsoft-com:office:smarttags" w:element="PlaceName">
        <w:r w:rsidRPr="004722DB">
          <w:rPr>
            <w:rFonts w:ascii="Times New Roman" w:hAnsi="Times New Roman"/>
          </w:rPr>
          <w:t>East</w:t>
        </w:r>
      </w:smartTag>
      <w:r w:rsidRPr="004722DB">
        <w:rPr>
          <w:rFonts w:ascii="Times New Roman" w:hAnsi="Times New Roman"/>
        </w:rPr>
        <w:t xml:space="preserve"> </w:t>
      </w:r>
      <w:smartTag w:uri="urn:schemas-microsoft-com:office:smarttags" w:element="PlaceType">
        <w:r w:rsidRPr="004722DB">
          <w:rPr>
            <w:rFonts w:ascii="Times New Roman" w:hAnsi="Times New Roman"/>
          </w:rPr>
          <w:t>Bay</w:t>
        </w:r>
      </w:smartTag>
      <w:r w:rsidRPr="004722DB">
        <w:rPr>
          <w:rFonts w:ascii="Times New Roman" w:hAnsi="Times New Roman"/>
        </w:rPr>
        <w:t xml:space="preserve"> </w:t>
      </w:r>
      <w:smartTag w:uri="urn:schemas-microsoft-com:office:smarttags" w:element="PlaceName">
        <w:r w:rsidRPr="004722DB">
          <w:rPr>
            <w:rFonts w:ascii="Times New Roman" w:hAnsi="Times New Roman"/>
          </w:rPr>
          <w:t>Regional</w:t>
        </w:r>
      </w:smartTag>
      <w:r w:rsidRPr="004722DB">
        <w:rPr>
          <w:rFonts w:ascii="Times New Roman" w:hAnsi="Times New Roman"/>
        </w:rPr>
        <w:t xml:space="preserve"> </w:t>
      </w:r>
      <w:smartTag w:uri="urn:schemas-microsoft-com:office:smarttags" w:element="PlaceType">
        <w:r w:rsidRPr="004722DB">
          <w:rPr>
            <w:rFonts w:ascii="Times New Roman" w:hAnsi="Times New Roman"/>
          </w:rPr>
          <w:t>Parks</w:t>
        </w:r>
      </w:smartTag>
      <w:r w:rsidRPr="004722DB">
        <w:rPr>
          <w:rFonts w:ascii="Times New Roman" w:hAnsi="Times New Roman"/>
        </w:rPr>
        <w:t xml:space="preserve"> </w:t>
      </w:r>
      <w:smartTag w:uri="urn:schemas-microsoft-com:office:smarttags" w:element="PlaceType">
        <w:r w:rsidRPr="004722DB">
          <w:rPr>
            <w:rFonts w:ascii="Times New Roman" w:hAnsi="Times New Roman"/>
          </w:rPr>
          <w:t>Botanic Garden</w:t>
        </w:r>
      </w:smartTag>
      <w:r w:rsidRPr="004722DB">
        <w:rPr>
          <w:rFonts w:ascii="Times New Roman" w:hAnsi="Times New Roman"/>
        </w:rPr>
        <w:t xml:space="preserve">, </w:t>
      </w:r>
      <w:smartTag w:uri="urn:schemas-microsoft-com:office:smarttags" w:element="place">
        <w:smartTag w:uri="urn:schemas-microsoft-com:office:smarttags" w:element="City">
          <w:r w:rsidRPr="004722DB">
            <w:rPr>
              <w:rFonts w:ascii="Times New Roman" w:hAnsi="Times New Roman"/>
            </w:rPr>
            <w:t>Berkeley</w:t>
          </w:r>
        </w:smartTag>
        <w:r w:rsidRPr="004722DB">
          <w:rPr>
            <w:rFonts w:ascii="Times New Roman" w:hAnsi="Times New Roman"/>
          </w:rPr>
          <w:t xml:space="preserve">, </w:t>
        </w:r>
        <w:smartTag w:uri="urn:schemas-microsoft-com:office:smarttags" w:element="State">
          <w:r w:rsidRPr="004722DB">
            <w:rPr>
              <w:rFonts w:ascii="Times New Roman" w:hAnsi="Times New Roman"/>
            </w:rPr>
            <w:t>California</w:t>
          </w:r>
        </w:smartTag>
      </w:smartTag>
    </w:p>
    <w:p w:rsidR="004722DB" w:rsidRDefault="004722DB" w:rsidP="004722DB">
      <w:pPr>
        <w:pStyle w:val="PlainText"/>
        <w:rPr>
          <w:rFonts w:ascii="Times New Roman" w:hAnsi="Times New Roman"/>
        </w:rPr>
      </w:pPr>
    </w:p>
    <w:p w:rsidR="004722DB" w:rsidRPr="00D707BF" w:rsidRDefault="004722DB" w:rsidP="004722DB">
      <w:pPr>
        <w:pStyle w:val="PlainText"/>
        <w:rPr>
          <w:rFonts w:ascii="Times New Roman" w:hAnsi="Times New Roman"/>
          <w:sz w:val="16"/>
          <w:szCs w:val="16"/>
        </w:rPr>
      </w:pPr>
      <w:r w:rsidRPr="00D707BF">
        <w:rPr>
          <w:rFonts w:ascii="Times New Roman" w:hAnsi="Times New Roman"/>
          <w:sz w:val="16"/>
          <w:szCs w:val="16"/>
        </w:rPr>
        <w:t>Edited: 17jan01 jsp; 04jun03 ahv; 060818 jsp</w:t>
      </w:r>
    </w:p>
    <w:p w:rsidR="00CD49CC" w:rsidRPr="001F7210" w:rsidRDefault="00CD49CC" w:rsidP="00BE5356">
      <w:pPr>
        <w:pStyle w:val="Footer1Italic"/>
        <w:rPr>
          <w:sz w:val="20"/>
        </w:rPr>
      </w:pPr>
    </w:p>
    <w:p w:rsidR="00F72ADF" w:rsidRPr="005A2740" w:rsidRDefault="00F72ADF" w:rsidP="00F72ADF">
      <w:pPr>
        <w:pStyle w:val="BodyText"/>
        <w:jc w:val="left"/>
        <w:rPr>
          <w:rStyle w:val="Footer1Char"/>
          <w:color w:val="auto"/>
          <w:szCs w:val="16"/>
        </w:rPr>
      </w:pPr>
      <w:r w:rsidRPr="005A2740">
        <w:rPr>
          <w:rStyle w:val="Footer1Char"/>
          <w:color w:val="auto"/>
          <w:szCs w:val="16"/>
        </w:rPr>
        <w:t>For more information about this and other plants, please contact your local NRCS field office or Conservation District, and visit the PLANTS Web site&lt;</w:t>
      </w:r>
      <w:hyperlink r:id="rId9" w:history="1">
        <w:r w:rsidRPr="005A2740">
          <w:rPr>
            <w:rStyle w:val="Hyperlink"/>
            <w:color w:val="auto"/>
            <w:sz w:val="16"/>
            <w:szCs w:val="16"/>
          </w:rPr>
          <w:t>http://plants.usda.gov</w:t>
        </w:r>
      </w:hyperlink>
      <w:r w:rsidRPr="005A2740">
        <w:rPr>
          <w:rStyle w:val="Footer1Char"/>
          <w:color w:val="auto"/>
          <w:szCs w:val="16"/>
        </w:rPr>
        <w:t>&gt; or the Plant Materials Program Web site &lt;</w:t>
      </w:r>
      <w:hyperlink r:id="rId10" w:history="1">
        <w:r w:rsidRPr="005A2740">
          <w:rPr>
            <w:rStyle w:val="Hyperlink"/>
            <w:color w:val="auto"/>
            <w:sz w:val="16"/>
            <w:szCs w:val="16"/>
          </w:rPr>
          <w:t>http://Plant-Materials.nrcs.usda.gov</w:t>
        </w:r>
      </w:hyperlink>
      <w:r w:rsidRPr="005A2740">
        <w:rPr>
          <w:rStyle w:val="Footer1Char"/>
          <w:color w:val="auto"/>
          <w:szCs w:val="16"/>
        </w:rPr>
        <w:t>&gt;</w:t>
      </w:r>
    </w:p>
    <w:p w:rsidR="00F72ADF" w:rsidRDefault="00F72ADF" w:rsidP="00F72ADF">
      <w:pPr>
        <w:pStyle w:val="Footer"/>
        <w:rPr>
          <w:rStyle w:val="PageNumber"/>
          <w:sz w:val="16"/>
        </w:rPr>
      </w:pP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The </w:t>
      </w:r>
      <w:smartTag w:uri="urn:schemas-microsoft-com:office:smarttags" w:element="country-region">
        <w:smartTag w:uri="urn:schemas-microsoft-com:office:smarttags" w:element="place">
          <w:r w:rsidRPr="00DD41E3">
            <w:rPr>
              <w:rFonts w:ascii="Times New Roman" w:hAnsi="Times New Roman"/>
              <w:i/>
              <w:color w:val="0000FF"/>
              <w:sz w:val="16"/>
              <w:szCs w:val="16"/>
            </w:rPr>
            <w:t>U.S.</w:t>
          </w:r>
        </w:smartTag>
      </w:smartTag>
      <w:r w:rsidRPr="00DD41E3">
        <w:rPr>
          <w:rFonts w:ascii="Times New Roman" w:hAnsi="Times New Roman"/>
          <w:i/>
          <w:color w:val="0000FF"/>
          <w:sz w:val="16"/>
          <w:szCs w:val="16"/>
        </w:rPr>
        <w:t xml:space="preserve"> Department of Agriculture (USDA) prohibits discrimination in all its programs and activities on the basis of race, color, national origin, sex, religion, age, disability, political beliefs, sexual orientation, and marital or family status. (Not all prohibited bases apply to all programs.) Persons with disabilities who require alternative means for communication of program information (Braille, large print, audiotape, etc.) should contact USDA's </w:t>
      </w:r>
      <w:hyperlink r:id="rId11" w:tgtFrame="_blank" w:tooltip="PLANTS is not responsible for the content or availability of other Web sites." w:history="1">
        <w:r w:rsidRPr="00DD41E3">
          <w:rPr>
            <w:rStyle w:val="Hyperlink"/>
            <w:rFonts w:ascii="Times New Roman" w:hAnsi="Times New Roman"/>
            <w:i/>
            <w:sz w:val="16"/>
            <w:szCs w:val="16"/>
          </w:rPr>
          <w:t>TARGET Center</w:t>
        </w:r>
      </w:hyperlink>
      <w:r w:rsidRPr="00DD41E3">
        <w:rPr>
          <w:rFonts w:ascii="Times New Roman" w:hAnsi="Times New Roman"/>
          <w:i/>
          <w:color w:val="0000FF"/>
          <w:sz w:val="16"/>
          <w:szCs w:val="16"/>
        </w:rPr>
        <w:t xml:space="preserve"> at 202-720-2600 (voice and TDD).</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To file a complaint of discrimination write USDA, Director, Office of Civil Rights, Room 326-W, Whitten Building, 14th and Independence Avenue, SW, Washington, DC 20250-9410 or call 202-720-5964 (voice or TDD). USDA is an equal opportunity provider and employer.</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Read about </w:t>
      </w:r>
      <w:hyperlink r:id="rId12" w:tgtFrame="_blank" w:tooltip="PLANTS is not responsible for the content or availability of other Web sites." w:history="1">
        <w:r w:rsidRPr="00DD41E3">
          <w:rPr>
            <w:rStyle w:val="Hyperlink"/>
            <w:rFonts w:ascii="Times New Roman" w:hAnsi="Times New Roman"/>
            <w:i/>
            <w:sz w:val="16"/>
            <w:szCs w:val="16"/>
          </w:rPr>
          <w:t>Civil Rights at the Natural Resources Convervation Service</w:t>
        </w:r>
      </w:hyperlink>
      <w:r w:rsidRPr="00DD41E3">
        <w:rPr>
          <w:rFonts w:ascii="Times New Roman" w:hAnsi="Times New Roman"/>
          <w:i/>
          <w:color w:val="0000FF"/>
          <w:sz w:val="16"/>
          <w:szCs w:val="16"/>
        </w:rPr>
        <w:t xml:space="preserve">. </w:t>
      </w:r>
    </w:p>
    <w:p w:rsidR="00DD41E3" w:rsidRPr="00DD41E3" w:rsidRDefault="00DD41E3" w:rsidP="00DD41E3">
      <w:pPr>
        <w:pStyle w:val="Footer"/>
        <w:jc w:val="left"/>
        <w:rPr>
          <w:sz w:val="20"/>
        </w:rPr>
      </w:pPr>
    </w:p>
    <w:sectPr w:rsidR="00DD41E3" w:rsidRPr="00DD41E3">
      <w:headerReference w:type="default" r:id="rId13"/>
      <w:footerReference w:type="default" r:id="rId14"/>
      <w:type w:val="continuous"/>
      <w:pgSz w:w="12240" w:h="15840" w:code="1"/>
      <w:pgMar w:top="1440" w:right="1440" w:bottom="1440" w:left="1440" w:header="720" w:footer="720" w:gutter="0"/>
      <w:cols w:num="2"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9143D" w:rsidRDefault="0049143D">
      <w:r>
        <w:separator/>
      </w:r>
    </w:p>
  </w:endnote>
  <w:endnote w:type="continuationSeparator" w:id="0">
    <w:p w:rsidR="0049143D" w:rsidRDefault="0049143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Courier New">
    <w:panose1 w:val="02070309020205020404"/>
    <w:charset w:val="00"/>
    <w:family w:val="modern"/>
    <w:pitch w:val="fixed"/>
    <w:sig w:usb0="20002A87" w:usb1="00000000" w:usb2="00000000" w:usb3="00000000" w:csb0="000001FF" w:csb1="00000000"/>
  </w:font>
  <w:font w:name="Antique Olive">
    <w:panose1 w:val="00000000000000000000"/>
    <w:charset w:val="00"/>
    <w:family w:val="swiss"/>
    <w:notTrueType/>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701D" w:rsidRPr="0036701D" w:rsidRDefault="0036701D" w:rsidP="001F7210">
    <w:pPr>
      <w:pStyle w:val="Header"/>
      <w:jc w:val="left"/>
      <w:rPr>
        <w:b/>
        <w:sz w:val="20"/>
      </w:rPr>
    </w:pPr>
  </w:p>
  <w:p w:rsidR="001F7210" w:rsidRDefault="001F7210" w:rsidP="001F7210">
    <w:pPr>
      <w:pStyle w:val="Header"/>
      <w:jc w:val="left"/>
      <w:rPr>
        <w:sz w:val="20"/>
      </w:rPr>
    </w:pPr>
    <w:r w:rsidRPr="003749B3">
      <w:rPr>
        <w:sz w:val="20"/>
      </w:rPr>
      <w:t>Plant Materials &lt;http://plant-materials.nrcs.usda.gov/&gt;</w:t>
    </w:r>
  </w:p>
  <w:p w:rsidR="001F7210" w:rsidRDefault="001F7210" w:rsidP="001F7210">
    <w:pPr>
      <w:pStyle w:val="Header"/>
      <w:jc w:val="left"/>
      <w:rPr>
        <w:sz w:val="20"/>
      </w:rPr>
    </w:pPr>
    <w:r w:rsidRPr="001F7210">
      <w:rPr>
        <w:sz w:val="20"/>
      </w:rPr>
      <w:t>Plant Fact Sheet/Guide Coordination Page &lt;http://plant-materials.nrcs.usda.gov/intranet/pfs.html&gt;</w:t>
    </w:r>
  </w:p>
  <w:p w:rsidR="001F7210" w:rsidRPr="001F7210" w:rsidRDefault="001F7210" w:rsidP="001F7210">
    <w:pPr>
      <w:pStyle w:val="Header"/>
      <w:jc w:val="left"/>
      <w:rPr>
        <w:sz w:val="20"/>
      </w:rPr>
    </w:pPr>
    <w:smartTag w:uri="urn:schemas-microsoft-com:office:smarttags" w:element="place">
      <w:smartTag w:uri="urn:schemas-microsoft-com:office:smarttags" w:element="PlaceName">
        <w:r w:rsidRPr="003749B3">
          <w:rPr>
            <w:sz w:val="20"/>
          </w:rPr>
          <w:t>National</w:t>
        </w:r>
      </w:smartTag>
      <w:r w:rsidRPr="003749B3">
        <w:rPr>
          <w:sz w:val="20"/>
        </w:rPr>
        <w:t xml:space="preserve"> </w:t>
      </w:r>
      <w:smartTag w:uri="urn:schemas-microsoft-com:office:smarttags" w:element="PlaceName">
        <w:r w:rsidRPr="003749B3">
          <w:rPr>
            <w:sz w:val="20"/>
          </w:rPr>
          <w:t>Plant</w:t>
        </w:r>
      </w:smartTag>
      <w:r w:rsidRPr="003749B3">
        <w:rPr>
          <w:sz w:val="20"/>
        </w:rPr>
        <w:t xml:space="preserve"> </w:t>
      </w:r>
      <w:smartTag w:uri="urn:schemas-microsoft-com:office:smarttags" w:element="PlaceName">
        <w:r w:rsidRPr="003749B3">
          <w:rPr>
            <w:sz w:val="20"/>
          </w:rPr>
          <w:t>Data</w:t>
        </w:r>
      </w:smartTag>
      <w:r w:rsidRPr="003749B3">
        <w:rPr>
          <w:sz w:val="20"/>
        </w:rPr>
        <w:t xml:space="preserve"> </w:t>
      </w:r>
      <w:smartTag w:uri="urn:schemas-microsoft-com:office:smarttags" w:element="PlaceType">
        <w:r w:rsidRPr="003749B3">
          <w:rPr>
            <w:sz w:val="20"/>
          </w:rPr>
          <w:t>Center</w:t>
        </w:r>
      </w:smartTag>
    </w:smartTag>
    <w:r w:rsidRPr="003749B3">
      <w:rPr>
        <w:sz w:val="20"/>
      </w:rPr>
      <w:t xml:space="preserve"> &lt;http://npdc.usda.gov&gt;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2818" w:rsidRPr="00F72ADF" w:rsidRDefault="00D62818" w:rsidP="001F721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9143D" w:rsidRDefault="0049143D">
      <w:r>
        <w:separator/>
      </w:r>
    </w:p>
  </w:footnote>
  <w:footnote w:type="continuationSeparator" w:id="0">
    <w:p w:rsidR="0049143D" w:rsidRDefault="0049143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616F" w:rsidRDefault="004F75FB" w:rsidP="00B755F2">
    <w:pPr>
      <w:pStyle w:val="Header"/>
      <w:jc w:val="both"/>
      <w:rPr>
        <w:color w:val="000080"/>
        <w:sz w:val="64"/>
        <w:szCs w:val="64"/>
      </w:rPr>
    </w:pPr>
    <w:r>
      <w:rPr>
        <w:noProof/>
      </w:rPr>
      <w:pict>
        <v:line id="_x0000_s2110" style="position:absolute;left:0;text-align:left;z-index:251657728" from="-4.95pt,54.2pt" to="472.05pt,54.2pt" strokecolor="navy" strokeweight="3pt"/>
      </w:pict>
    </w:r>
    <w:r w:rsidR="00520FAC">
      <w:t xml:space="preserve">  </w:t>
    </w:r>
    <w:r w:rsidR="002B6C47">
      <w:rPr>
        <w:noProof/>
      </w:rPr>
      <w:drawing>
        <wp:inline distT="0" distB="0" distL="0" distR="0">
          <wp:extent cx="1647825" cy="619125"/>
          <wp:effectExtent l="19050" t="0" r="9525" b="0"/>
          <wp:docPr id="1" name="Picture 1" descr="060324 USDA-N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060324 USDA-NRCS"/>
                  <pic:cNvPicPr>
                    <a:picLocks noChangeAspect="1" noChangeArrowheads="1"/>
                  </pic:cNvPicPr>
                </pic:nvPicPr>
                <pic:blipFill>
                  <a:blip r:embed="rId1"/>
                  <a:srcRect/>
                  <a:stretch>
                    <a:fillRect/>
                  </a:stretch>
                </pic:blipFill>
                <pic:spPr bwMode="auto">
                  <a:xfrm>
                    <a:off x="0" y="0"/>
                    <a:ext cx="1647825" cy="619125"/>
                  </a:xfrm>
                  <a:prstGeom prst="rect">
                    <a:avLst/>
                  </a:prstGeom>
                  <a:noFill/>
                  <a:ln w="9525">
                    <a:noFill/>
                    <a:miter lim="800000"/>
                    <a:headEnd/>
                    <a:tailEnd/>
                  </a:ln>
                </pic:spPr>
              </pic:pic>
            </a:graphicData>
          </a:graphic>
        </wp:inline>
      </w:drawing>
    </w:r>
    <w:r w:rsidR="00520FAC">
      <w:t xml:space="preserve">         </w:t>
    </w:r>
    <w:r w:rsidR="00B755F2">
      <w:t xml:space="preserve">                 </w:t>
    </w:r>
    <w:r w:rsidR="00520FAC" w:rsidRPr="00BD616F">
      <w:rPr>
        <w:rFonts w:ascii="Antique Olive" w:hAnsi="Antique Olive"/>
        <w:color w:val="000080"/>
        <w:sz w:val="64"/>
        <w:szCs w:val="64"/>
      </w:rPr>
      <w:t>Plant Guide</w:t>
    </w:r>
    <w:r w:rsidR="00520FAC">
      <w:rPr>
        <w:color w:val="000080"/>
        <w:sz w:val="64"/>
        <w:szCs w:val="64"/>
      </w:rPr>
      <w:t xml:space="preserve">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49B3" w:rsidRPr="003749B3" w:rsidRDefault="003749B3" w:rsidP="003749B3">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isplayHorizontalDrawingGridEvery w:val="0"/>
  <w:displayVerticalDrawingGridEvery w:val="0"/>
  <w:doNotUseMarginsForDrawingGridOrigin/>
  <w:noPunctuationKerning/>
  <w:characterSpacingControl w:val="doNotCompress"/>
  <w:hdrShapeDefaults>
    <o:shapedefaults v:ext="edit" spidmax="3074">
      <o:colormru v:ext="edit" colors="#0000b0,#0000c6,#060"/>
    </o:shapedefaults>
    <o:shapelayout v:ext="edit">
      <o:idmap v:ext="edit" data="2"/>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entry new="17" old="0"/>
      </o:regrouptable>
    </o:shapelayout>
  </w:hdrShapeDefaults>
  <w:footnotePr>
    <w:footnote w:id="-1"/>
    <w:footnote w:id="0"/>
  </w:footnotePr>
  <w:endnotePr>
    <w:endnote w:id="-1"/>
    <w:endnote w:id="0"/>
  </w:endnotePr>
  <w:compat/>
  <w:rsids>
    <w:rsidRoot w:val="00CD49CC"/>
    <w:rsid w:val="00024DE6"/>
    <w:rsid w:val="000578C2"/>
    <w:rsid w:val="000607FF"/>
    <w:rsid w:val="000867C9"/>
    <w:rsid w:val="000A1774"/>
    <w:rsid w:val="000F1970"/>
    <w:rsid w:val="001478F1"/>
    <w:rsid w:val="00183135"/>
    <w:rsid w:val="001B6C75"/>
    <w:rsid w:val="001C4209"/>
    <w:rsid w:val="001D6A53"/>
    <w:rsid w:val="001E6B41"/>
    <w:rsid w:val="001F7210"/>
    <w:rsid w:val="002148DF"/>
    <w:rsid w:val="00222F37"/>
    <w:rsid w:val="002375B8"/>
    <w:rsid w:val="0026727E"/>
    <w:rsid w:val="002B6C47"/>
    <w:rsid w:val="002C45BA"/>
    <w:rsid w:val="00303F61"/>
    <w:rsid w:val="0036701D"/>
    <w:rsid w:val="003749B3"/>
    <w:rsid w:val="00377934"/>
    <w:rsid w:val="00395D33"/>
    <w:rsid w:val="003E4863"/>
    <w:rsid w:val="004032F8"/>
    <w:rsid w:val="004052E3"/>
    <w:rsid w:val="00416D52"/>
    <w:rsid w:val="004340C9"/>
    <w:rsid w:val="004364E5"/>
    <w:rsid w:val="00437F11"/>
    <w:rsid w:val="004500D1"/>
    <w:rsid w:val="004722DB"/>
    <w:rsid w:val="0048212B"/>
    <w:rsid w:val="00485D14"/>
    <w:rsid w:val="004911C7"/>
    <w:rsid w:val="0049143D"/>
    <w:rsid w:val="004A50AC"/>
    <w:rsid w:val="004E2BD6"/>
    <w:rsid w:val="004F75FB"/>
    <w:rsid w:val="00520FAC"/>
    <w:rsid w:val="00592CFA"/>
    <w:rsid w:val="005A2740"/>
    <w:rsid w:val="005E45C3"/>
    <w:rsid w:val="005F57D8"/>
    <w:rsid w:val="0061608E"/>
    <w:rsid w:val="006333FE"/>
    <w:rsid w:val="0064486F"/>
    <w:rsid w:val="00660D73"/>
    <w:rsid w:val="006B4B3E"/>
    <w:rsid w:val="00712AC4"/>
    <w:rsid w:val="007A3680"/>
    <w:rsid w:val="007F3743"/>
    <w:rsid w:val="00801DCE"/>
    <w:rsid w:val="00830F95"/>
    <w:rsid w:val="0088325A"/>
    <w:rsid w:val="0089154B"/>
    <w:rsid w:val="008B3C33"/>
    <w:rsid w:val="008E6018"/>
    <w:rsid w:val="008F3D5A"/>
    <w:rsid w:val="008F52D9"/>
    <w:rsid w:val="008F6154"/>
    <w:rsid w:val="0090312B"/>
    <w:rsid w:val="00982214"/>
    <w:rsid w:val="009F0497"/>
    <w:rsid w:val="00A06FE6"/>
    <w:rsid w:val="00A12175"/>
    <w:rsid w:val="00A8423D"/>
    <w:rsid w:val="00AB0F7A"/>
    <w:rsid w:val="00AD30BE"/>
    <w:rsid w:val="00B755F2"/>
    <w:rsid w:val="00B76A82"/>
    <w:rsid w:val="00B841F9"/>
    <w:rsid w:val="00B8425D"/>
    <w:rsid w:val="00BA0E82"/>
    <w:rsid w:val="00BD616F"/>
    <w:rsid w:val="00BE5356"/>
    <w:rsid w:val="00BF44A8"/>
    <w:rsid w:val="00C71B7B"/>
    <w:rsid w:val="00C81773"/>
    <w:rsid w:val="00C95C6F"/>
    <w:rsid w:val="00CC0A51"/>
    <w:rsid w:val="00CD49CC"/>
    <w:rsid w:val="00CF06F8"/>
    <w:rsid w:val="00CF7EC1"/>
    <w:rsid w:val="00D00A96"/>
    <w:rsid w:val="00D05376"/>
    <w:rsid w:val="00D53A51"/>
    <w:rsid w:val="00D62818"/>
    <w:rsid w:val="00DB0716"/>
    <w:rsid w:val="00DD41E3"/>
    <w:rsid w:val="00DE6946"/>
    <w:rsid w:val="00E06CC9"/>
    <w:rsid w:val="00E219E4"/>
    <w:rsid w:val="00E93233"/>
    <w:rsid w:val="00F1350F"/>
    <w:rsid w:val="00F353F3"/>
    <w:rsid w:val="00F43617"/>
    <w:rsid w:val="00F43778"/>
    <w:rsid w:val="00F47575"/>
    <w:rsid w:val="00F52BD1"/>
    <w:rsid w:val="00F725B1"/>
    <w:rsid w:val="00F72ADF"/>
    <w:rsid w:val="00F802DB"/>
    <w:rsid w:val="00F9482A"/>
    <w:rsid w:val="00FA009D"/>
    <w:rsid w:val="00FF039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City"/>
  <w:smartTagType w:namespaceuri="urn:schemas-microsoft-com:office:smarttags" w:name="State"/>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3074">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F802DB"/>
    <w:pPr>
      <w:jc w:val="center"/>
    </w:pPr>
    <w:rPr>
      <w:sz w:val="24"/>
    </w:rPr>
  </w:style>
  <w:style w:type="paragraph" w:styleId="Heading1">
    <w:name w:val="heading 1"/>
    <w:basedOn w:val="Normal"/>
    <w:next w:val="Normal"/>
    <w:qFormat/>
    <w:pPr>
      <w:keepNext/>
      <w:tabs>
        <w:tab w:val="left" w:pos="2520"/>
      </w:tabs>
      <w:outlineLvl w:val="0"/>
    </w:pPr>
    <w:rPr>
      <w:b/>
      <w:sz w:val="20"/>
    </w:rPr>
  </w:style>
  <w:style w:type="paragraph" w:styleId="Heading2">
    <w:name w:val="heading 2"/>
    <w:basedOn w:val="Normal"/>
    <w:next w:val="Normal"/>
    <w:qFormat/>
    <w:pPr>
      <w:keepNext/>
      <w:tabs>
        <w:tab w:val="left" w:pos="2430"/>
        <w:tab w:val="left" w:pos="2520"/>
      </w:tabs>
      <w:outlineLvl w:val="1"/>
    </w:pPr>
    <w:rPr>
      <w:b/>
      <w:color w:val="000000"/>
      <w:sz w:val="32"/>
    </w:rPr>
  </w:style>
  <w:style w:type="paragraph" w:styleId="Heading3">
    <w:name w:val="heading 3"/>
    <w:basedOn w:val="Normal"/>
    <w:next w:val="Normal"/>
    <w:qFormat/>
    <w:pPr>
      <w:keepNext/>
      <w:tabs>
        <w:tab w:val="left" w:pos="2520"/>
        <w:tab w:val="left" w:pos="4950"/>
      </w:tabs>
      <w:ind w:left="-108" w:right="-18"/>
      <w:jc w:val="right"/>
      <w:outlineLvl w:val="2"/>
    </w:pPr>
    <w:rPr>
      <w:b/>
      <w:color w:val="0000FF"/>
      <w:sz w:val="20"/>
    </w:rPr>
  </w:style>
  <w:style w:type="paragraph" w:styleId="Heading4">
    <w:name w:val="heading 4"/>
    <w:basedOn w:val="Normal"/>
    <w:next w:val="Normal"/>
    <w:qFormat/>
    <w:pPr>
      <w:keepNext/>
      <w:outlineLvl w:val="3"/>
    </w:pPr>
    <w:rPr>
      <w:b/>
      <w:color w:val="000000"/>
    </w:rPr>
  </w:style>
  <w:style w:type="paragraph" w:styleId="Heading5">
    <w:name w:val="heading 5"/>
    <w:basedOn w:val="Normal"/>
    <w:next w:val="Normal"/>
    <w:qFormat/>
    <w:pPr>
      <w:keepNext/>
      <w:tabs>
        <w:tab w:val="left" w:pos="2430"/>
      </w:tabs>
      <w:ind w:left="-180"/>
      <w:outlineLvl w:val="4"/>
    </w:pPr>
    <w:rPr>
      <w:b/>
      <w:sz w:val="20"/>
    </w:rPr>
  </w:style>
  <w:style w:type="paragraph" w:styleId="Heading6">
    <w:name w:val="heading 6"/>
    <w:basedOn w:val="Normal"/>
    <w:next w:val="Normal"/>
    <w:qFormat/>
    <w:pPr>
      <w:keepNext/>
      <w:outlineLvl w:val="5"/>
    </w:pPr>
    <w:rPr>
      <w:b/>
      <w:sz w:val="18"/>
    </w:rPr>
  </w:style>
  <w:style w:type="paragraph" w:styleId="Heading7">
    <w:name w:val="heading 7"/>
    <w:basedOn w:val="Normal"/>
    <w:next w:val="Normal"/>
    <w:qFormat/>
    <w:pPr>
      <w:keepNext/>
      <w:spacing w:before="80"/>
      <w:outlineLvl w:val="6"/>
    </w:pPr>
    <w:rPr>
      <w:b/>
      <w:color w:val="000000"/>
      <w:sz w:val="22"/>
    </w:rPr>
  </w:style>
  <w:style w:type="paragraph" w:styleId="Heading8">
    <w:name w:val="heading 8"/>
    <w:basedOn w:val="Normal"/>
    <w:next w:val="Normal"/>
    <w:qFormat/>
    <w:pPr>
      <w:keepNext/>
      <w:tabs>
        <w:tab w:val="left" w:pos="2430"/>
      </w:tabs>
      <w:ind w:left="-180"/>
      <w:outlineLvl w:val="7"/>
    </w:pPr>
    <w:rPr>
      <w:i/>
      <w:sz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link w:val="BodyTextChar"/>
    <w:pPr>
      <w:tabs>
        <w:tab w:val="left" w:pos="2520"/>
      </w:tabs>
    </w:pPr>
    <w:rPr>
      <w:color w:val="0000FF"/>
      <w:sz w:val="14"/>
    </w:rPr>
  </w:style>
  <w:style w:type="paragraph" w:styleId="BodyTextIndent">
    <w:name w:val="Body Text Indent"/>
    <w:basedOn w:val="Normal"/>
    <w:pPr>
      <w:tabs>
        <w:tab w:val="left" w:pos="2430"/>
      </w:tabs>
      <w:ind w:left="-180"/>
    </w:pPr>
    <w:rPr>
      <w:sz w:val="20"/>
    </w:rPr>
  </w:style>
  <w:style w:type="character" w:styleId="Hyperlink">
    <w:name w:val="Hyperlink"/>
    <w:basedOn w:val="DefaultParagraphFont"/>
    <w:rPr>
      <w:color w:val="0000FF"/>
      <w:u w:val="single"/>
    </w:rPr>
  </w:style>
  <w:style w:type="paragraph" w:styleId="BodyText2">
    <w:name w:val="Body Text 2"/>
    <w:basedOn w:val="Normal"/>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0">
    <w:name w:val="Body text"/>
    <w:basedOn w:val="BodyText"/>
    <w:link w:val="BodytextChar0"/>
    <w:rsid w:val="00F802DB"/>
    <w:pPr>
      <w:tabs>
        <w:tab w:val="left" w:pos="2430"/>
      </w:tabs>
      <w:jc w:val="left"/>
    </w:pPr>
    <w:rPr>
      <w:color w:val="auto"/>
      <w:sz w:val="20"/>
    </w:r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Char0">
    <w:name w:val="Body text Char"/>
    <w:basedOn w:val="BodyTextChar"/>
    <w:link w:val="Bodytext0"/>
    <w:rsid w:val="00F802DB"/>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sz w:val="16"/>
    </w:rPr>
  </w:style>
  <w:style w:type="paragraph" w:customStyle="1" w:styleId="Footer1Italic">
    <w:name w:val="Footer 1 + Italic"/>
    <w:basedOn w:val="Footer1"/>
    <w:rsid w:val="00BE5356"/>
    <w:rPr>
      <w:i/>
      <w:iCs/>
    </w:rPr>
  </w:style>
  <w:style w:type="paragraph" w:customStyle="1" w:styleId="BodytextItalic">
    <w:name w:val="Body text + Italic"/>
    <w:basedOn w:val="Bodytext0"/>
    <w:link w:val="BodytextItalicChar"/>
    <w:rsid w:val="004340C9"/>
    <w:rPr>
      <w:i/>
      <w:iCs/>
    </w:rPr>
  </w:style>
  <w:style w:type="character" w:customStyle="1" w:styleId="BodytextItalicChar">
    <w:name w:val="Body text + Italic Char"/>
    <w:basedOn w:val="BodytextChar0"/>
    <w:link w:val="BodytextItalic"/>
    <w:rsid w:val="004340C9"/>
    <w:rPr>
      <w:i/>
      <w:iCs/>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DD41E3"/>
    <w:pPr>
      <w:spacing w:before="100" w:beforeAutospacing="1" w:after="100" w:afterAutospacing="1"/>
      <w:jc w:val="left"/>
    </w:pPr>
    <w:rPr>
      <w:rFonts w:ascii="Verdana" w:hAnsi="Verdana"/>
      <w:color w:val="000000"/>
      <w:sz w:val="17"/>
      <w:szCs w:val="17"/>
    </w:rPr>
  </w:style>
  <w:style w:type="paragraph" w:styleId="PlainText">
    <w:name w:val="Plain Text"/>
    <w:basedOn w:val="Normal"/>
    <w:rsid w:val="004911C7"/>
    <w:pPr>
      <w:jc w:val="left"/>
    </w:pPr>
    <w:rPr>
      <w:rFonts w:ascii="Courier New" w:hAnsi="Courier New"/>
      <w:sz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hyperlink" Target="http://www.nrcs.usda.gov/about/civilrights/"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hyperlink" Target="http://www.usda.gov/oo/target.htm" TargetMode="Externa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yperlink" Target="http://Plant-Materials.nrcs.usda.gov" TargetMode="External"/><Relationship Id="rId4" Type="http://schemas.openxmlformats.org/officeDocument/2006/relationships/footnotes" Target="footnotes.xml"/><Relationship Id="rId9" Type="http://schemas.openxmlformats.org/officeDocument/2006/relationships/hyperlink" Target="http://plants.usda.gov" TargetMode="Externa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1248</Words>
  <Characters>7116</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WHITE BRODIAEA</vt:lpstr>
    </vt:vector>
  </TitlesOfParts>
  <Company>USDA NRCS National Plant Data Center</Company>
  <LinksUpToDate>false</LinksUpToDate>
  <CharactersWithSpaces>8348</CharactersWithSpaces>
  <SharedDoc>false</SharedDoc>
  <HLinks>
    <vt:vector size="24" baseType="variant">
      <vt:variant>
        <vt:i4>7995511</vt:i4>
      </vt:variant>
      <vt:variant>
        <vt:i4>9</vt:i4>
      </vt:variant>
      <vt:variant>
        <vt:i4>0</vt:i4>
      </vt:variant>
      <vt:variant>
        <vt:i4>5</vt:i4>
      </vt:variant>
      <vt:variant>
        <vt:lpwstr>http://www.nrcs.usda.gov/about/civilrights/</vt:lpwstr>
      </vt:variant>
      <vt:variant>
        <vt:lpwstr/>
      </vt:variant>
      <vt:variant>
        <vt:i4>131081</vt:i4>
      </vt:variant>
      <vt:variant>
        <vt:i4>6</vt:i4>
      </vt:variant>
      <vt:variant>
        <vt:i4>0</vt:i4>
      </vt:variant>
      <vt:variant>
        <vt:i4>5</vt:i4>
      </vt:variant>
      <vt:variant>
        <vt:lpwstr>http://www.usda.gov/oo/target.htm</vt:lpwstr>
      </vt:variant>
      <vt:variant>
        <vt:lpwstr/>
      </vt:variant>
      <vt:variant>
        <vt:i4>1507416</vt:i4>
      </vt:variant>
      <vt:variant>
        <vt:i4>3</vt:i4>
      </vt:variant>
      <vt:variant>
        <vt:i4>0</vt:i4>
      </vt:variant>
      <vt:variant>
        <vt:i4>5</vt:i4>
      </vt:variant>
      <vt:variant>
        <vt:lpwstr>http://plant-materials.nrcs.usda.gov/</vt:lpwstr>
      </vt:variant>
      <vt:variant>
        <vt:lpwstr/>
      </vt:variant>
      <vt:variant>
        <vt:i4>6488104</vt:i4>
      </vt:variant>
      <vt:variant>
        <vt:i4>0</vt:i4>
      </vt:variant>
      <vt:variant>
        <vt:i4>0</vt:i4>
      </vt:variant>
      <vt:variant>
        <vt:i4>5</vt:i4>
      </vt:variant>
      <vt:variant>
        <vt:lpwstr>http://plants.usda.gov/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WHITE BRODIAEA</dc:title>
  <dc:subject>Triteleia hyacinthina (Lindl.) Greene</dc:subject>
  <dc:creator>J. Scott Peterson</dc:creator>
  <cp:keywords/>
  <cp:lastModifiedBy>William Farrell</cp:lastModifiedBy>
  <cp:revision>2</cp:revision>
  <cp:lastPrinted>2003-06-09T21:39:00Z</cp:lastPrinted>
  <dcterms:created xsi:type="dcterms:W3CDTF">2011-01-25T19:31:00Z</dcterms:created>
  <dcterms:modified xsi:type="dcterms:W3CDTF">2011-01-25T19:31:00Z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1132867997</vt:i4>
  </property>
  <property fmtid="{D5CDD505-2E9C-101B-9397-08002B2CF9AE}" pid="3" name="_EmailSubject">
    <vt:lpwstr>New Plant Guide and Plant Fact Sheet Templates</vt:lpwstr>
  </property>
  <property fmtid="{D5CDD505-2E9C-101B-9397-08002B2CF9AE}" pid="4" name="_AuthorEmail">
    <vt:lpwstr>rnoricks@po.nrcs.usda.gov</vt:lpwstr>
  </property>
  <property fmtid="{D5CDD505-2E9C-101B-9397-08002B2CF9AE}" pid="5" name="_AuthorEmailDisplayName">
    <vt:lpwstr>Rebecca Noricks</vt:lpwstr>
  </property>
  <property fmtid="{D5CDD505-2E9C-101B-9397-08002B2CF9AE}" pid="6" name="_PreviousAdHocReviewCycleID">
    <vt:i4>-1603742833</vt:i4>
  </property>
  <property fmtid="{D5CDD505-2E9C-101B-9397-08002B2CF9AE}" pid="7" name="_ReviewingToolsShownOnce">
    <vt:lpwstr/>
  </property>
</Properties>
</file>