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B0B17" w:rsidP="000578C2">
            <w:pPr>
              <w:pStyle w:val="TitleHeader"/>
              <w:rPr>
                <w:i/>
              </w:rPr>
            </w:pPr>
            <w:r>
              <w:lastRenderedPageBreak/>
              <w:t>hairy grama</w:t>
            </w:r>
          </w:p>
        </w:tc>
      </w:tr>
      <w:tr w:rsidR="00CD49CC">
        <w:tblPrEx>
          <w:tblCellMar>
            <w:top w:w="0" w:type="dxa"/>
            <w:bottom w:w="0" w:type="dxa"/>
          </w:tblCellMar>
        </w:tblPrEx>
        <w:tc>
          <w:tcPr>
            <w:tcW w:w="4410" w:type="dxa"/>
          </w:tcPr>
          <w:p w:rsidR="00CD49CC" w:rsidRPr="00CB0B17" w:rsidRDefault="00CB0B17" w:rsidP="008F3D5A">
            <w:pPr>
              <w:pStyle w:val="Titlesubheader1"/>
              <w:rPr>
                <w:i/>
              </w:rPr>
            </w:pPr>
            <w:r w:rsidRPr="00CB0B17">
              <w:rPr>
                <w:i/>
              </w:rPr>
              <w:t>Bouteloua hirsuta</w:t>
            </w:r>
            <w:r w:rsidRPr="00CB0B17">
              <w:t xml:space="preserve"> Lag.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symbol = </w:t>
            </w:r>
            <w:r w:rsidR="00755785">
              <w:t>BO</w:t>
            </w:r>
            <w:r w:rsidR="00CB0B17">
              <w:t>HI</w:t>
            </w:r>
          </w:p>
        </w:tc>
      </w:tr>
    </w:tbl>
    <w:p w:rsidR="00CD49CC" w:rsidRPr="00307443" w:rsidRDefault="00CD49CC" w:rsidP="00307443">
      <w:pPr>
        <w:jc w:val="left"/>
        <w:rPr>
          <w:sz w:val="20"/>
        </w:rPr>
      </w:pPr>
    </w:p>
    <w:p w:rsidR="00CB0B17" w:rsidRPr="00CB0B17" w:rsidRDefault="00CB0B17" w:rsidP="00CB0B17">
      <w:pPr>
        <w:jc w:val="left"/>
        <w:rPr>
          <w:i/>
          <w:sz w:val="20"/>
        </w:rPr>
      </w:pPr>
      <w:r w:rsidRPr="00CB0B17">
        <w:rPr>
          <w:i/>
          <w:sz w:val="20"/>
        </w:rPr>
        <w:t>Contributed By: USDA NRCS National Plant Data</w:t>
      </w:r>
    </w:p>
    <w:p w:rsidR="00CB0B17" w:rsidRPr="00CB0B17" w:rsidRDefault="00CB0B17" w:rsidP="00CB0B17">
      <w:pPr>
        <w:jc w:val="left"/>
        <w:rPr>
          <w:b/>
          <w:sz w:val="20"/>
        </w:rPr>
      </w:pPr>
      <w:r w:rsidRPr="00CB0B17">
        <w:rPr>
          <w:i/>
          <w:sz w:val="20"/>
        </w:rPr>
        <w:t>Center</w:t>
      </w:r>
    </w:p>
    <w:p w:rsidR="00CB0B17" w:rsidRDefault="00CB0B17" w:rsidP="00CB0B17">
      <w:pPr>
        <w:pStyle w:val="Heading1"/>
      </w:pPr>
      <w:r>
        <w:rPr>
          <w:noProof/>
        </w:rPr>
        <w:pict>
          <v:shapetype id="_x0000_t202" coordsize="21600,21600" o:spt="202" path="m,l,21600r21600,l21600,xe">
            <v:stroke joinstyle="miter"/>
            <v:path gradientshapeok="t" o:connecttype="rect"/>
          </v:shapetype>
          <v:shape id="_x0000_s1066" type="#_x0000_t202" alt="Text Box:  Line drawing of Bouteloua hirsuta.&#10;From Hitchcock, A.S. (1950)&#10;@ plants.usda.gov&#10;" style="position:absolute;margin-left:0;margin-top:0;width:207pt;height:207pt;z-index:251657728;mso-wrap-style:none;mso-position-horizontal-relative:char;mso-position-vertical-relative:line" stroked="f">
            <v:textbox style="mso-fit-shape-to-text:t">
              <w:txbxContent>
                <w:p w:rsidR="00CB0B17" w:rsidRDefault="00F675AA" w:rsidP="00CB0B17">
                  <w:r>
                    <w:rPr>
                      <w:noProof/>
                    </w:rPr>
                    <w:drawing>
                      <wp:inline distT="0" distB="0" distL="0" distR="0">
                        <wp:extent cx="2438400" cy="3657600"/>
                        <wp:effectExtent l="19050" t="0" r="0" b="0"/>
                        <wp:docPr id="6" name="Picture 6" descr="Bouteloua hirsuta 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uteloua hirsuta Lag."/>
                                <pic:cNvPicPr>
                                  <a:picLocks noChangeAspect="1" noChangeArrowheads="1"/>
                                </pic:cNvPicPr>
                              </pic:nvPicPr>
                              <pic:blipFill>
                                <a:blip r:embed="rId7"/>
                                <a:srcRect/>
                                <a:stretch>
                                  <a:fillRect/>
                                </a:stretch>
                              </pic:blipFill>
                              <pic:spPr bwMode="auto">
                                <a:xfrm>
                                  <a:off x="0" y="0"/>
                                  <a:ext cx="2438400" cy="3657600"/>
                                </a:xfrm>
                                <a:prstGeom prst="rect">
                                  <a:avLst/>
                                </a:prstGeom>
                                <a:noFill/>
                                <a:ln w="9525">
                                  <a:noFill/>
                                  <a:miter lim="800000"/>
                                  <a:headEnd/>
                                  <a:tailEnd/>
                                </a:ln>
                              </pic:spPr>
                            </pic:pic>
                          </a:graphicData>
                        </a:graphic>
                      </wp:inline>
                    </w:drawing>
                  </w:r>
                </w:p>
                <w:p w:rsidR="00CB0B17" w:rsidRPr="005567B9" w:rsidRDefault="00CB0B17" w:rsidP="00CB0B17">
                  <w:pPr>
                    <w:jc w:val="right"/>
                    <w:rPr>
                      <w:sz w:val="16"/>
                      <w:szCs w:val="16"/>
                    </w:rPr>
                  </w:pPr>
                  <w:r w:rsidRPr="005567B9">
                    <w:rPr>
                      <w:sz w:val="16"/>
                      <w:szCs w:val="16"/>
                    </w:rPr>
                    <w:t>From Hitchcock, A.S. (1950)</w:t>
                  </w:r>
                </w:p>
                <w:p w:rsidR="00CB0B17" w:rsidRPr="005567B9" w:rsidRDefault="00CB0B17" w:rsidP="00CB0B17">
                  <w:pPr>
                    <w:jc w:val="right"/>
                    <w:rPr>
                      <w:sz w:val="16"/>
                      <w:szCs w:val="16"/>
                    </w:rPr>
                  </w:pPr>
                  <w:r w:rsidRPr="005567B9">
                    <w:rPr>
                      <w:sz w:val="16"/>
                      <w:szCs w:val="16"/>
                    </w:rPr>
                    <w:t>@ plants.usda.gov</w:t>
                  </w:r>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313.5pt">
            <v:imagedata croptop="-65520f" cropbottom="65520f"/>
          </v:shape>
        </w:pict>
      </w:r>
    </w:p>
    <w:p w:rsidR="00CB0B17" w:rsidRDefault="00CB0B17" w:rsidP="00CB0B17">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CB0B17" w:rsidRPr="00CB0B17" w:rsidRDefault="00CB0B17" w:rsidP="00CB0B17">
      <w:pPr>
        <w:pStyle w:val="Heading2"/>
        <w:jc w:val="left"/>
        <w:rPr>
          <w:sz w:val="20"/>
        </w:rPr>
      </w:pPr>
      <w:r w:rsidRPr="00CB0B17">
        <w:rPr>
          <w:sz w:val="20"/>
        </w:rPr>
        <w:t xml:space="preserve">Uses </w:t>
      </w:r>
    </w:p>
    <w:p w:rsidR="00CB0B17" w:rsidRPr="00CB0B17" w:rsidRDefault="00CB0B17" w:rsidP="00CB0B17">
      <w:pPr>
        <w:pStyle w:val="BodyText3"/>
        <w:jc w:val="left"/>
        <w:rPr>
          <w:sz w:val="20"/>
          <w:szCs w:val="20"/>
        </w:rPr>
      </w:pPr>
      <w:r w:rsidRPr="00CB0B17">
        <w:rPr>
          <w:sz w:val="20"/>
          <w:szCs w:val="20"/>
        </w:rPr>
        <w:t>Hairy grama is used primarily for grazing and withstands it well.  Most livestock graze it readily any season.  It makes especially good winter forage</w:t>
      </w:r>
      <w:r w:rsidR="0068058A">
        <w:rPr>
          <w:sz w:val="20"/>
          <w:szCs w:val="20"/>
        </w:rPr>
        <w:t>,</w:t>
      </w:r>
      <w:r w:rsidRPr="00CB0B17">
        <w:rPr>
          <w:sz w:val="20"/>
          <w:szCs w:val="20"/>
        </w:rPr>
        <w:t xml:space="preserve"> because it cures well.  It is not considered a hay grass.</w:t>
      </w:r>
    </w:p>
    <w:p w:rsidR="00CB0B17" w:rsidRPr="00CB0B17" w:rsidRDefault="00CB0B17" w:rsidP="00CB0B17">
      <w:pPr>
        <w:jc w:val="left"/>
        <w:rPr>
          <w:sz w:val="20"/>
        </w:rPr>
      </w:pPr>
    </w:p>
    <w:p w:rsidR="00CB0B17" w:rsidRPr="00CB0B17" w:rsidRDefault="00CB0B17" w:rsidP="00CB0B17">
      <w:pPr>
        <w:pStyle w:val="Heading2"/>
        <w:jc w:val="left"/>
        <w:rPr>
          <w:sz w:val="20"/>
        </w:rPr>
      </w:pPr>
      <w:r w:rsidRPr="00CB0B17">
        <w:rPr>
          <w:sz w:val="20"/>
        </w:rPr>
        <w:t>Status</w:t>
      </w:r>
    </w:p>
    <w:p w:rsidR="00CB0B17" w:rsidRPr="00CB0B17" w:rsidRDefault="00CB0B17" w:rsidP="00CB0B17">
      <w:pPr>
        <w:jc w:val="left"/>
        <w:rPr>
          <w:sz w:val="20"/>
        </w:rPr>
      </w:pPr>
      <w:r w:rsidRPr="00CB0B17">
        <w:rPr>
          <w:sz w:val="20"/>
        </w:rPr>
        <w:t>Please consult the PLANTS Web site and your State Department of Natural Resources for this plant’s current status, such as, state noxious status and wetland indicator values.</w:t>
      </w:r>
    </w:p>
    <w:p w:rsidR="00CB0B17" w:rsidRPr="00CB0B17" w:rsidRDefault="00CB0B17" w:rsidP="00CB0B17">
      <w:pPr>
        <w:pStyle w:val="Footer"/>
        <w:tabs>
          <w:tab w:val="clear" w:pos="4320"/>
          <w:tab w:val="clear" w:pos="8640"/>
        </w:tabs>
        <w:jc w:val="left"/>
        <w:rPr>
          <w:sz w:val="20"/>
        </w:rPr>
      </w:pPr>
    </w:p>
    <w:p w:rsidR="00CB0B17" w:rsidRPr="00CB0B17" w:rsidRDefault="00CB0B17" w:rsidP="00CB0B17">
      <w:pPr>
        <w:pStyle w:val="Heading2"/>
        <w:jc w:val="left"/>
        <w:rPr>
          <w:sz w:val="20"/>
        </w:rPr>
      </w:pPr>
      <w:r w:rsidRPr="00CB0B17">
        <w:rPr>
          <w:sz w:val="20"/>
        </w:rPr>
        <w:t>Description</w:t>
      </w:r>
    </w:p>
    <w:p w:rsidR="00CB0B17" w:rsidRPr="00CB0B17" w:rsidRDefault="00CB0B17" w:rsidP="00CB0B17">
      <w:pPr>
        <w:jc w:val="left"/>
        <w:rPr>
          <w:sz w:val="20"/>
        </w:rPr>
      </w:pPr>
      <w:r w:rsidRPr="00CB0B17">
        <w:rPr>
          <w:sz w:val="20"/>
        </w:rPr>
        <w:t>Grass Family (Poaceae).  Hairy grama is a native, warm</w:t>
      </w:r>
      <w:r w:rsidRPr="00CB0B17">
        <w:rPr>
          <w:sz w:val="20"/>
        </w:rPr>
        <w:noBreakHyphen/>
        <w:t xml:space="preserve">season, perennial grass.  The height is between 10 and 20 inches.  The leaf blade is flat or slightly </w:t>
      </w:r>
      <w:r w:rsidRPr="00CB0B17">
        <w:rPr>
          <w:sz w:val="20"/>
        </w:rPr>
        <w:lastRenderedPageBreak/>
        <w:t>rolled; narrow; mostly basal; margins hairy.  The leaf sheath is rounded; smooth; shorter than internodes.  The seedhead is 1 to 4 spikes, purplish before maturity, about 1 inch long; rachis extends beyond spike</w:t>
      </w:r>
      <w:r w:rsidR="00C34D23">
        <w:rPr>
          <w:sz w:val="20"/>
        </w:rPr>
        <w:t>lets</w:t>
      </w:r>
      <w:r w:rsidRPr="00CB0B17">
        <w:rPr>
          <w:sz w:val="20"/>
        </w:rPr>
        <w:t>.</w:t>
      </w:r>
    </w:p>
    <w:p w:rsidR="00CB0B17" w:rsidRDefault="00CB0B17" w:rsidP="00CB0B17">
      <w:pPr>
        <w:jc w:val="left"/>
        <w:rPr>
          <w:sz w:val="20"/>
        </w:rPr>
      </w:pPr>
    </w:p>
    <w:p w:rsidR="00C34D23" w:rsidRDefault="00C34D23" w:rsidP="00C34D23">
      <w:pPr>
        <w:pStyle w:val="Bodytext0"/>
      </w:pPr>
      <w:r>
        <w:rPr>
          <w:i/>
        </w:rPr>
        <w:t>Distribution</w:t>
      </w:r>
      <w:r>
        <w:t>: For current distribution, please consult the Plant Profile page for this species on the PLANTS Web site.</w:t>
      </w:r>
    </w:p>
    <w:p w:rsidR="00C34D23" w:rsidRPr="00CB0B17" w:rsidRDefault="00C34D23" w:rsidP="00CB0B17">
      <w:pPr>
        <w:jc w:val="left"/>
        <w:rPr>
          <w:sz w:val="20"/>
        </w:rPr>
      </w:pPr>
    </w:p>
    <w:p w:rsidR="00CB0B17" w:rsidRPr="00CB0B17" w:rsidRDefault="00CB0B17" w:rsidP="00CB0B17">
      <w:pPr>
        <w:pStyle w:val="Heading2"/>
        <w:jc w:val="left"/>
        <w:rPr>
          <w:sz w:val="20"/>
        </w:rPr>
      </w:pPr>
      <w:r w:rsidRPr="00CB0B17">
        <w:rPr>
          <w:sz w:val="20"/>
        </w:rPr>
        <w:t>Management</w:t>
      </w:r>
    </w:p>
    <w:p w:rsidR="00CB0B17" w:rsidRPr="00CB0B17" w:rsidRDefault="00CB0B17" w:rsidP="00CB0B17">
      <w:pPr>
        <w:jc w:val="left"/>
        <w:rPr>
          <w:sz w:val="20"/>
        </w:rPr>
      </w:pPr>
      <w:r w:rsidRPr="00CB0B17">
        <w:rPr>
          <w:sz w:val="20"/>
        </w:rPr>
        <w:t>This grass yields more if it is not overgrazed and grazing is deferred every 2 to 3 years during the period of most active growth.</w:t>
      </w:r>
    </w:p>
    <w:p w:rsidR="00CB0B17" w:rsidRPr="00CB0B17" w:rsidRDefault="00CB0B17" w:rsidP="00CB0B17">
      <w:pPr>
        <w:pStyle w:val="Heading1"/>
        <w:jc w:val="left"/>
        <w:rPr>
          <w:b w:val="0"/>
          <w:i/>
        </w:rPr>
      </w:pPr>
    </w:p>
    <w:p w:rsidR="00CB0B17" w:rsidRPr="00CB0B17" w:rsidRDefault="00CB0B17" w:rsidP="00CB0B17">
      <w:pPr>
        <w:pStyle w:val="Heading2"/>
        <w:jc w:val="left"/>
        <w:rPr>
          <w:sz w:val="20"/>
        </w:rPr>
      </w:pPr>
      <w:r w:rsidRPr="00CB0B17">
        <w:rPr>
          <w:sz w:val="20"/>
        </w:rPr>
        <w:t>Establishment</w:t>
      </w:r>
    </w:p>
    <w:p w:rsidR="00CB0B17" w:rsidRPr="00CB0B17" w:rsidRDefault="00CB0B17" w:rsidP="00CB0B17">
      <w:pPr>
        <w:jc w:val="left"/>
        <w:rPr>
          <w:sz w:val="20"/>
        </w:rPr>
      </w:pPr>
      <w:r w:rsidRPr="00CB0B17">
        <w:rPr>
          <w:sz w:val="20"/>
        </w:rPr>
        <w:t>Hairy grama makes little growth before summer rains begin.  If moisture is adequate, it matures rapidly.  During exceptionally dry years, produces little forage but withstands drought well.  It reproduces from auxiliary buds at basal nodes, from short stolons in some localities, and from seed.  In the northern part of its range, this grass usually has only 1 or 2 spikes per seedhead and short stolons that form a sod.  Further south, it grows taller, more like a bunch grass, and has 2 to 4 spikes per seedhead.  A tall variety (</w:t>
      </w:r>
      <w:r w:rsidRPr="00CB0B17">
        <w:rPr>
          <w:i/>
          <w:sz w:val="20"/>
        </w:rPr>
        <w:t>B</w:t>
      </w:r>
      <w:r w:rsidRPr="00CB0B17">
        <w:rPr>
          <w:sz w:val="20"/>
        </w:rPr>
        <w:t xml:space="preserve">. </w:t>
      </w:r>
      <w:r w:rsidRPr="00CB0B17">
        <w:rPr>
          <w:i/>
          <w:sz w:val="20"/>
        </w:rPr>
        <w:t xml:space="preserve">hirsuta </w:t>
      </w:r>
      <w:r w:rsidRPr="00CB0B17">
        <w:rPr>
          <w:sz w:val="20"/>
        </w:rPr>
        <w:t>var.</w:t>
      </w:r>
      <w:r w:rsidRPr="00CB0B17">
        <w:rPr>
          <w:i/>
          <w:sz w:val="20"/>
        </w:rPr>
        <w:t xml:space="preserve"> pectinata) </w:t>
      </w:r>
      <w:r w:rsidRPr="00CB0B17">
        <w:rPr>
          <w:sz w:val="20"/>
        </w:rPr>
        <w:t xml:space="preserve">grows mostly in central </w:t>
      </w:r>
      <w:smartTag w:uri="urn:schemas-microsoft-com:office:smarttags" w:element="place">
        <w:smartTag w:uri="urn:schemas-microsoft-com:office:smarttags" w:element="State">
          <w:r w:rsidRPr="00CB0B17">
            <w:rPr>
              <w:sz w:val="20"/>
            </w:rPr>
            <w:t>Texas</w:t>
          </w:r>
        </w:smartTag>
      </w:smartTag>
      <w:r w:rsidRPr="00CB0B17">
        <w:rPr>
          <w:sz w:val="20"/>
        </w:rPr>
        <w:t>.  It is adapted to sandy and sandy loam soils and gravelly loams and does well on soils neutral to slightly calcareous.  It is often associated with blue grama (</w:t>
      </w:r>
      <w:r w:rsidRPr="00CB0B17">
        <w:rPr>
          <w:i/>
          <w:sz w:val="20"/>
        </w:rPr>
        <w:t>Bouteloua gracilis</w:t>
      </w:r>
      <w:r w:rsidRPr="00CB0B17">
        <w:rPr>
          <w:sz w:val="20"/>
        </w:rPr>
        <w:t>), but is more drought resistant.</w:t>
      </w:r>
    </w:p>
    <w:p w:rsidR="00CB0B17" w:rsidRPr="00CB0B17" w:rsidRDefault="00CB0B17" w:rsidP="00CB0B17">
      <w:pPr>
        <w:jc w:val="left"/>
        <w:rPr>
          <w:sz w:val="20"/>
        </w:rPr>
      </w:pPr>
    </w:p>
    <w:p w:rsidR="00CB0B17" w:rsidRPr="00CB0B17" w:rsidRDefault="00CB0B17" w:rsidP="00CB0B17">
      <w:pPr>
        <w:pStyle w:val="Heading2"/>
        <w:jc w:val="left"/>
        <w:rPr>
          <w:sz w:val="20"/>
        </w:rPr>
      </w:pPr>
      <w:r w:rsidRPr="00CB0B17">
        <w:rPr>
          <w:sz w:val="20"/>
        </w:rPr>
        <w:t xml:space="preserve">Cultivars, Improved and Selected Materials (and area of origin) </w:t>
      </w:r>
    </w:p>
    <w:p w:rsidR="00CB0B17" w:rsidRPr="00CB0B17" w:rsidRDefault="00CB0B17" w:rsidP="00CB0B17">
      <w:pPr>
        <w:pStyle w:val="PlainText"/>
        <w:rPr>
          <w:rFonts w:ascii="Times New Roman" w:hAnsi="Times New Roman"/>
          <w:b/>
        </w:rPr>
      </w:pPr>
      <w:r w:rsidRPr="00CB0B17">
        <w:rPr>
          <w:rFonts w:ascii="Times New Roman" w:hAnsi="Times New Roman"/>
        </w:rPr>
        <w:t>Please contact your local NRCS Field Office.</w:t>
      </w:r>
    </w:p>
    <w:p w:rsidR="00755785" w:rsidRPr="00CB0B17" w:rsidRDefault="00755785" w:rsidP="00CB0B17">
      <w:pPr>
        <w:pStyle w:val="Heading2"/>
        <w:jc w:val="left"/>
        <w:rPr>
          <w:b w:val="0"/>
          <w:sz w:val="20"/>
        </w:rPr>
      </w:pPr>
    </w:p>
    <w:p w:rsidR="00F07D17" w:rsidRPr="00CB0B17" w:rsidRDefault="00F07D17" w:rsidP="00CB0B17">
      <w:pPr>
        <w:jc w:val="left"/>
        <w:rPr>
          <w:b/>
          <w:sz w:val="20"/>
        </w:rPr>
      </w:pPr>
      <w:r w:rsidRPr="00CB0B17">
        <w:rPr>
          <w:b/>
          <w:sz w:val="20"/>
        </w:rPr>
        <w:t>Reference</w:t>
      </w:r>
    </w:p>
    <w:p w:rsidR="00F07D17" w:rsidRPr="00F07D17" w:rsidRDefault="00F07D17" w:rsidP="00F07D17">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F07D17" w:rsidRPr="00F07D17" w:rsidRDefault="00F07D17" w:rsidP="00F07D17">
      <w:pPr>
        <w:jc w:val="left"/>
        <w:rPr>
          <w:sz w:val="20"/>
        </w:rPr>
      </w:pPr>
    </w:p>
    <w:p w:rsidR="00755785" w:rsidRPr="00755785" w:rsidRDefault="00755785" w:rsidP="00755785">
      <w:pPr>
        <w:pStyle w:val="Heading2"/>
        <w:jc w:val="left"/>
        <w:rPr>
          <w:sz w:val="20"/>
        </w:rPr>
      </w:pPr>
      <w:r w:rsidRPr="00755785">
        <w:rPr>
          <w:sz w:val="20"/>
        </w:rPr>
        <w:t>Prepared By &amp; Species Coordinator:</w:t>
      </w:r>
    </w:p>
    <w:p w:rsidR="00755785" w:rsidRDefault="00755785" w:rsidP="00755785">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p>
    <w:p w:rsidR="00755785" w:rsidRDefault="00755785" w:rsidP="00755785">
      <w:pPr>
        <w:pStyle w:val="PlainText"/>
        <w:rPr>
          <w:rFonts w:ascii="Times New Roman" w:hAnsi="Times New Roman"/>
          <w:snapToGrid w:val="0"/>
        </w:rPr>
      </w:pP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755785" w:rsidRDefault="00755785" w:rsidP="00755785">
      <w:pPr>
        <w:pStyle w:val="PlainText"/>
        <w:rPr>
          <w:rFonts w:ascii="Times New Roman" w:hAnsi="Times New Roman"/>
          <w:snapToGrid w:val="0"/>
        </w:rPr>
      </w:pPr>
    </w:p>
    <w:p w:rsidR="00755785" w:rsidRDefault="00755785" w:rsidP="00755785">
      <w:pPr>
        <w:pStyle w:val="PlainText"/>
        <w:rPr>
          <w:rFonts w:ascii="Times New Roman" w:hAnsi="Times New Roman"/>
          <w:snapToGrid w:val="0"/>
          <w:sz w:val="16"/>
        </w:rPr>
      </w:pPr>
      <w:r>
        <w:rPr>
          <w:rFonts w:ascii="Times New Roman" w:hAnsi="Times New Roman"/>
          <w:snapToGrid w:val="0"/>
          <w:sz w:val="16"/>
        </w:rPr>
        <w:t>Edited: 13may02 ahv; jul03 ahv; 20sep05 jsp</w:t>
      </w:r>
    </w:p>
    <w:p w:rsidR="00CD49CC" w:rsidRPr="001B2356" w:rsidRDefault="00CD49CC" w:rsidP="001B2356">
      <w:pPr>
        <w:jc w:val="left"/>
        <w:rPr>
          <w:sz w:val="20"/>
        </w:rPr>
      </w:pPr>
    </w:p>
    <w:p w:rsidR="00CD49CC" w:rsidRDefault="00CD49CC">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sectPr w:rsidR="00D62818">
      <w:headerReference w:type="default" r:id="rId8"/>
      <w:footerReference w:type="default" r:id="rId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022" w:rsidRDefault="008C5022">
      <w:r>
        <w:separator/>
      </w:r>
    </w:p>
  </w:endnote>
  <w:endnote w:type="continuationSeparator" w:id="0">
    <w:p w:rsidR="008C5022" w:rsidRDefault="008C50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D62818">
    <w:pPr>
      <w:pStyle w:val="Footer1"/>
    </w:pPr>
    <w:r>
      <w:rPr>
        <w:noProof/>
      </w:rPr>
      <w:pict>
        <v:line id="_x0000_s2107" style="position:absolute;flip:y;z-index:251657216;mso-wrap-edited:f" from="-7.2pt,-8.8pt" to="475.2pt,-8.8pt" wrapcoords="-67 0 -67 0 21634 0 21634 0 -67 0" o:allowincell="f" strokecolor="blue" strokeweight="3pt"/>
      </w:pict>
    </w:r>
    <w:r>
      <w:t>For more information about this and other plants, please contact your local NRCS field office or Conservation District, and visit the PLANTS &lt;</w:t>
    </w:r>
    <w:hyperlink r:id="rId1" w:history="1">
      <w:r>
        <w:rPr>
          <w:rStyle w:val="Hyperlink"/>
          <w:color w:val="008000"/>
        </w:rPr>
        <w:t>http://plants.usda.gov</w:t>
      </w:r>
    </w:hyperlink>
    <w:r>
      <w:t>&gt; and Plant Materials Program Web sites &lt;</w:t>
    </w:r>
    <w:hyperlink r:id="rId2" w:history="1">
      <w:r>
        <w:rPr>
          <w:rStyle w:val="Hyperlink"/>
          <w:color w:val="008000"/>
        </w:rPr>
        <w:t>http://Plant-Materials.nrcs.usda.gov</w:t>
      </w:r>
    </w:hyperlink>
    <w:r>
      <w:t>&gt;.</w:t>
    </w:r>
  </w:p>
  <w:p w:rsidR="00B730E7" w:rsidRDefault="00B730E7" w:rsidP="00D62818">
    <w:pPr>
      <w:pStyle w:val="Footer"/>
      <w:rPr>
        <w:rStyle w:val="PageNumber"/>
        <w:sz w:val="16"/>
      </w:rPr>
    </w:pPr>
  </w:p>
  <w:p w:rsidR="00B730E7" w:rsidRDefault="00B730E7" w:rsidP="00D62818">
    <w:pPr>
      <w:pStyle w:val="Footer1Italic"/>
    </w:pPr>
    <w:r>
      <w:t xml:space="preserve">The </w:t>
    </w:r>
    <w:smartTag w:uri="urn:schemas-microsoft-com:office:smarttags" w:element="place">
      <w:smartTag w:uri="urn:schemas-microsoft-com:office:smarttags" w:element="country-region">
        <w:r>
          <w:t>U.S.</w:t>
        </w:r>
      </w:smartTag>
    </w:smartTag>
    <w:r>
      <w:t xml:space="preserve"> Department of Agriculture (USDA) prohibits discrimination in all its programs and activities on the basis of race, color, national origin, gender,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TARGET Center at 202-720-2600 (voice and TDD). </w:t>
    </w:r>
  </w:p>
  <w:p w:rsidR="00B730E7" w:rsidRDefault="00B730E7" w:rsidP="00D62818">
    <w:pPr>
      <w:rPr>
        <w:i/>
        <w:color w:val="0000FF"/>
        <w:sz w:val="16"/>
      </w:rPr>
    </w:pPr>
  </w:p>
  <w:p w:rsidR="00B730E7" w:rsidRDefault="00B730E7" w:rsidP="00D62818">
    <w:pPr>
      <w:pStyle w:val="Footer1Italic"/>
    </w:pPr>
    <w:r>
      <w:t xml:space="preserve">To file a complaint of discrimination, write USDA, Director, Office of Civil Rights, Room 326W, </w:t>
    </w:r>
    <w:smartTag w:uri="urn:schemas-microsoft-com:office:smarttags" w:element="place">
      <w:smartTag w:uri="urn:schemas-microsoft-com:office:smarttags" w:element="PlaceName">
        <w:r>
          <w:t>Whitten</w:t>
        </w:r>
      </w:smartTag>
      <w:r>
        <w:t xml:space="preserve"> </w:t>
      </w:r>
      <w:smartTag w:uri="urn:schemas-microsoft-com:office:smarttags" w:element="PlaceType">
        <w:r>
          <w:t>Building</w:t>
        </w:r>
      </w:smartTag>
    </w:smartTag>
    <w:r>
      <w:t xml:space="preserve">, 14th and </w:t>
    </w:r>
    <w:smartTag w:uri="urn:schemas-microsoft-com:office:smarttags" w:element="address">
      <w:smartTag w:uri="urn:schemas-microsoft-com:office:smarttags" w:element="Street">
        <w:r>
          <w:t>Independence Avenue, SW</w:t>
        </w:r>
      </w:smartTag>
      <w:r>
        <w:t xml:space="preserve">, </w:t>
      </w:r>
      <w:smartTag w:uri="urn:schemas-microsoft-com:office:smarttags" w:element="City">
        <w:r>
          <w:t>Washington</w:t>
        </w:r>
      </w:smartTag>
      <w:r>
        <w:t xml:space="preserve">, </w:t>
      </w:r>
      <w:smartTag w:uri="urn:schemas-microsoft-com:office:smarttags" w:element="State">
        <w:r>
          <w:t>DC</w:t>
        </w:r>
      </w:smartTag>
      <w:r>
        <w:t xml:space="preserve"> </w:t>
      </w:r>
      <w:smartTag w:uri="urn:schemas-microsoft-com:office:smarttags" w:element="PostalCode">
        <w:r>
          <w:t>20250-9410</w:t>
        </w:r>
      </w:smartTag>
    </w:smartTag>
    <w:r>
      <w:t xml:space="preserve"> or call (202) 720-5964 (voice or TDD). USDA is an equal opportunity provider and employer.</w:t>
    </w:r>
  </w:p>
  <w:p w:rsidR="00B730E7" w:rsidRDefault="00B730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022" w:rsidRDefault="008C5022">
      <w:r>
        <w:separator/>
      </w:r>
    </w:p>
  </w:footnote>
  <w:footnote w:type="continuationSeparator" w:id="0">
    <w:p w:rsidR="008C5022" w:rsidRDefault="008C50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8240" from="-4.95pt,45.2pt" to="472.05pt,45.2pt" strokecolor="navy" strokeweight="3pt"/>
      </w:pict>
    </w:r>
    <w:r w:rsidR="00F675AA">
      <w:rPr>
        <w:noProof/>
      </w:rPr>
      <w:drawing>
        <wp:inline distT="0" distB="0" distL="0" distR="0">
          <wp:extent cx="504825" cy="352425"/>
          <wp:effectExtent l="19050" t="0" r="9525" b="0"/>
          <wp:docPr id="2" name="Picture 2"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F675AA">
      <w:rPr>
        <w:noProof/>
      </w:rPr>
      <w:drawing>
        <wp:inline distT="0" distB="0" distL="0" distR="0">
          <wp:extent cx="1143000" cy="352425"/>
          <wp:effectExtent l="19050" t="0" r="0" b="0"/>
          <wp:docPr id="3" name="Picture 3"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CScolor"/>
                  <pic:cNvPicPr>
                    <a:picLocks noChangeAspect="1" noChangeArrowheads="1"/>
                  </pic:cNvPicPr>
                </pic:nvPicPr>
                <pic:blipFill>
                  <a:blip r:embed="rId2"/>
                  <a:srcRect/>
                  <a:stretch>
                    <a:fillRect/>
                  </a:stretch>
                </pic:blipFill>
                <pic:spPr bwMode="auto">
                  <a:xfrm>
                    <a:off x="0" y="0"/>
                    <a:ext cx="1143000" cy="352425"/>
                  </a:xfrm>
                  <a:prstGeom prst="rect">
                    <a:avLst/>
                  </a:prstGeom>
                  <a:noFill/>
                  <a:ln w="9525">
                    <a:noFill/>
                    <a:miter lim="800000"/>
                    <a:headEnd/>
                    <a:tailEnd/>
                  </a:ln>
                </pic:spPr>
              </pic:pic>
            </a:graphicData>
          </a:graphic>
        </wp:inline>
      </w:drawing>
    </w:r>
    <w:r>
      <w:t xml:space="preserve">       </w:t>
    </w:r>
    <w:r w:rsidRPr="007F678B">
      <w:rPr>
        <w:color w:val="000080"/>
        <w:sz w:val="60"/>
        <w:szCs w:val="60"/>
      </w:rPr>
      <w:t xml:space="preserve">Plant Fact Sheet </w:t>
    </w:r>
    <w:r>
      <w:rPr>
        <w:color w:val="000080"/>
        <w:sz w:val="64"/>
        <w:szCs w:val="64"/>
      </w:rPr>
      <w:t xml:space="preserve"> </w:t>
    </w:r>
    <w:r w:rsidR="00F675AA">
      <w:rPr>
        <w:noProof/>
        <w:color w:val="000080"/>
        <w:sz w:val="64"/>
        <w:szCs w:val="64"/>
      </w:rPr>
      <w:drawing>
        <wp:inline distT="0" distB="0" distL="0" distR="0">
          <wp:extent cx="495300" cy="485775"/>
          <wp:effectExtent l="19050" t="0" r="0" b="0"/>
          <wp:docPr id="4" name="Picture 4" descr="NPDC_new_circle_logo-round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PDC_new_circle_logo-roundsm"/>
                  <pic:cNvPicPr>
                    <a:picLocks noChangeAspect="1" noChangeArrowheads="1"/>
                  </pic:cNvPicPr>
                </pic:nvPicPr>
                <pic:blipFill>
                  <a:blip r:embed="rId3"/>
                  <a:srcRect/>
                  <a:stretch>
                    <a:fillRect/>
                  </a:stretch>
                </pic:blipFill>
                <pic:spPr bwMode="auto">
                  <a:xfrm>
                    <a:off x="0" y="0"/>
                    <a:ext cx="495300" cy="485775"/>
                  </a:xfrm>
                  <a:prstGeom prst="rect">
                    <a:avLst/>
                  </a:prstGeom>
                  <a:noFill/>
                  <a:ln w="9525">
                    <a:noFill/>
                    <a:miter lim="800000"/>
                    <a:headEnd/>
                    <a:tailEnd/>
                  </a:ln>
                </pic:spPr>
              </pic:pic>
            </a:graphicData>
          </a:graphic>
        </wp:inline>
      </w:drawing>
    </w:r>
    <w:r>
      <w:rPr>
        <w:color w:val="000080"/>
        <w:sz w:val="64"/>
        <w:szCs w:val="64"/>
      </w:rPr>
      <w:t xml:space="preserve">  </w:t>
    </w:r>
    <w:r w:rsidR="00F675AA">
      <w:rPr>
        <w:noProof/>
        <w:color w:val="000080"/>
        <w:sz w:val="64"/>
        <w:szCs w:val="64"/>
      </w:rPr>
      <w:drawing>
        <wp:inline distT="0" distB="0" distL="0" distR="0">
          <wp:extent cx="438150" cy="457200"/>
          <wp:effectExtent l="19050" t="0" r="0" b="0"/>
          <wp:docPr id="5" name="Picture 5" descr="PM%20logo%20200%20x%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20logo%20200%20x%20200"/>
                  <pic:cNvPicPr>
                    <a:picLocks noChangeAspect="1" noChangeArrowheads="1"/>
                  </pic:cNvPicPr>
                </pic:nvPicPr>
                <pic:blipFill>
                  <a:blip r:embed="rId4"/>
                  <a:srcRect/>
                  <a:stretch>
                    <a:fillRect/>
                  </a:stretch>
                </pic:blipFill>
                <pic:spPr bwMode="auto">
                  <a:xfrm>
                    <a:off x="0" y="0"/>
                    <a:ext cx="438150" cy="4572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6116A"/>
    <w:rsid w:val="0018267D"/>
    <w:rsid w:val="001B2356"/>
    <w:rsid w:val="002148DF"/>
    <w:rsid w:val="0026727E"/>
    <w:rsid w:val="002742EF"/>
    <w:rsid w:val="00307443"/>
    <w:rsid w:val="00350AC9"/>
    <w:rsid w:val="00377934"/>
    <w:rsid w:val="004052E3"/>
    <w:rsid w:val="00432CCC"/>
    <w:rsid w:val="004340C9"/>
    <w:rsid w:val="00437F11"/>
    <w:rsid w:val="004F0A5F"/>
    <w:rsid w:val="00521D04"/>
    <w:rsid w:val="00592CFA"/>
    <w:rsid w:val="0068058A"/>
    <w:rsid w:val="00755785"/>
    <w:rsid w:val="007C52E4"/>
    <w:rsid w:val="007F678B"/>
    <w:rsid w:val="008C5022"/>
    <w:rsid w:val="008F3D5A"/>
    <w:rsid w:val="00A4042E"/>
    <w:rsid w:val="00B730E7"/>
    <w:rsid w:val="00B8425D"/>
    <w:rsid w:val="00BE5356"/>
    <w:rsid w:val="00C34D23"/>
    <w:rsid w:val="00CB0B17"/>
    <w:rsid w:val="00CD49CC"/>
    <w:rsid w:val="00CF7EC1"/>
    <w:rsid w:val="00D62818"/>
    <w:rsid w:val="00F07D17"/>
    <w:rsid w:val="00F202B5"/>
    <w:rsid w:val="00F675AA"/>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BodyText3">
    <w:name w:val="Body Text 3"/>
    <w:basedOn w:val="Normal"/>
    <w:rsid w:val="00A4042E"/>
    <w:pPr>
      <w:spacing w:after="120"/>
    </w:pPr>
    <w:rPr>
      <w:sz w:val="16"/>
      <w:szCs w:val="16"/>
    </w:rPr>
  </w:style>
  <w:style w:type="paragraph" w:styleId="PlainText">
    <w:name w:val="Plain Text"/>
    <w:basedOn w:val="Normal"/>
    <w:rsid w:val="00A4042E"/>
    <w:pPr>
      <w:jc w:val="left"/>
    </w:pPr>
    <w:rPr>
      <w:rFonts w:ascii="Courier New" w:hAnsi="Courier New"/>
      <w:sz w:val="20"/>
    </w:rPr>
  </w:style>
  <w:style w:type="paragraph" w:customStyle="1" w:styleId="Preformatted">
    <w:name w:val="Preformatted"/>
    <w:basedOn w:val="Normal"/>
    <w:rsid w:val="00A4042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divs>
    <w:div w:id="8072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Plant-Materials.nrcs.usda.gov" TargetMode="External"/><Relationship Id="rId1"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HAIRY GRAMA</vt:lpstr>
    </vt:vector>
  </TitlesOfParts>
  <Company>USDA NRCS</Company>
  <LinksUpToDate>false</LinksUpToDate>
  <CharactersWithSpaces>2479</CharactersWithSpaces>
  <SharedDoc>false</SharedDoc>
  <HLinks>
    <vt:vector size="12" baseType="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HAIRY GRAMA</dc:title>
  <dc:subject>Bouteloua hirsuta Lag.</dc:subject>
  <dc:creator>John Englert</dc:creator>
  <cp:keywords/>
  <cp:lastModifiedBy>William Farrell</cp:lastModifiedBy>
  <cp:revision>2</cp:revision>
  <cp:lastPrinted>2003-06-09T21:39:00Z</cp:lastPrinted>
  <dcterms:created xsi:type="dcterms:W3CDTF">2011-01-25T17:20:00Z</dcterms:created>
  <dcterms:modified xsi:type="dcterms:W3CDTF">2011-01-25T17:20:00Z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-888897378</vt:i4>
  </property>
  <property fmtid="{D5CDD505-2E9C-101B-9397-08002B2CF9AE}" pid="3" name="_EmailSubject">
    <vt:lpwstr>templates</vt:lpwstr>
  </property>
  <property fmtid="{D5CDD505-2E9C-101B-9397-08002B2CF9AE}" pid="4" name="_AuthorEmail">
    <vt:lpwstr>rebecca.noricks@la.usda.gov</vt:lpwstr>
  </property>
  <property fmtid="{D5CDD505-2E9C-101B-9397-08002B2CF9AE}" pid="5" name="_AuthorEmailDisplayName">
    <vt:lpwstr>Noricks, Rebecca - Baton Rouge, LA</vt:lpwstr>
  </property>
  <property fmtid="{D5CDD505-2E9C-101B-9397-08002B2CF9AE}" pid="6" name="_PreviousAdHocReviewCycleID">
    <vt:i4>1115376199</vt:i4>
  </property>
  <property fmtid="{D5CDD505-2E9C-101B-9397-08002B2CF9AE}" pid="7" name="_ReviewingToolsShownOnce">
    <vt:lpwstr/>
  </property>
</Properties>
</file>