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F3BC8" w:rsidP="000578C2">
            <w:pPr>
              <w:pStyle w:val="TitleHeader"/>
              <w:rPr>
                <w:i/>
              </w:rPr>
            </w:pPr>
            <w:r>
              <w:lastRenderedPageBreak/>
              <w:t>mat sandbur</w:t>
            </w:r>
          </w:p>
        </w:tc>
      </w:tr>
      <w:tr w:rsidR="00CD49CC">
        <w:tblPrEx>
          <w:tblCellMar>
            <w:top w:w="0" w:type="dxa"/>
            <w:bottom w:w="0" w:type="dxa"/>
          </w:tblCellMar>
        </w:tblPrEx>
        <w:tc>
          <w:tcPr>
            <w:tcW w:w="4410" w:type="dxa"/>
          </w:tcPr>
          <w:p w:rsidR="00CD49CC" w:rsidRPr="008F3D5A" w:rsidRDefault="002F3BC8" w:rsidP="008F3D5A">
            <w:pPr>
              <w:pStyle w:val="Titlesubheader1"/>
              <w:rPr>
                <w:i/>
              </w:rPr>
            </w:pPr>
            <w:r>
              <w:rPr>
                <w:i/>
              </w:rPr>
              <w:t>Cenchrus spinifex</w:t>
            </w:r>
            <w:r w:rsidR="000F1970" w:rsidRPr="008F3D5A">
              <w:t xml:space="preserve"> </w:t>
            </w:r>
            <w:r>
              <w:t>Cav.</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2F3BC8">
              <w:t>CESP4</w:t>
            </w:r>
          </w:p>
        </w:tc>
      </w:tr>
    </w:tbl>
    <w:p w:rsidR="00CD49CC" w:rsidRPr="003631C1" w:rsidRDefault="00CD49CC" w:rsidP="003631C1">
      <w:pPr>
        <w:jc w:val="left"/>
        <w:rPr>
          <w:sz w:val="20"/>
        </w:rPr>
      </w:pPr>
    </w:p>
    <w:p w:rsidR="001D0799" w:rsidRPr="00B91B10" w:rsidRDefault="001D0799" w:rsidP="001D0799">
      <w:pPr>
        <w:jc w:val="left"/>
        <w:rPr>
          <w:b/>
          <w:sz w:val="20"/>
        </w:rPr>
      </w:pPr>
      <w:r w:rsidRPr="00B91B10">
        <w:rPr>
          <w:i/>
          <w:sz w:val="20"/>
        </w:rPr>
        <w:t xml:space="preserve">Contributed By: </w:t>
      </w:r>
      <w:smartTag w:uri="urn:schemas-microsoft-com:office:smarttags" w:element="place">
        <w:smartTag w:uri="urn:schemas-microsoft-com:office:smarttags" w:element="PlaceName">
          <w:r w:rsidRPr="00B91B10">
            <w:rPr>
              <w:i/>
              <w:sz w:val="20"/>
            </w:rPr>
            <w:t>USDA</w:t>
          </w:r>
        </w:smartTag>
        <w:r w:rsidRPr="00B91B10">
          <w:rPr>
            <w:i/>
            <w:sz w:val="20"/>
          </w:rPr>
          <w:t xml:space="preserve"> </w:t>
        </w:r>
        <w:smartTag w:uri="urn:schemas-microsoft-com:office:smarttags" w:element="PlaceName">
          <w:r w:rsidRPr="00B91B10">
            <w:rPr>
              <w:i/>
              <w:sz w:val="20"/>
            </w:rPr>
            <w:t>NRCS</w:t>
          </w:r>
        </w:smartTag>
        <w:r w:rsidRPr="00B91B10">
          <w:rPr>
            <w:i/>
            <w:sz w:val="20"/>
          </w:rPr>
          <w:t xml:space="preserve"> </w:t>
        </w:r>
        <w:smartTag w:uri="urn:schemas-microsoft-com:office:smarttags" w:element="PlaceName">
          <w:r w:rsidRPr="00B91B10">
            <w:rPr>
              <w:i/>
              <w:sz w:val="20"/>
            </w:rPr>
            <w:t>National</w:t>
          </w:r>
        </w:smartTag>
        <w:r w:rsidRPr="00B91B10">
          <w:rPr>
            <w:i/>
            <w:sz w:val="20"/>
          </w:rPr>
          <w:t xml:space="preserve"> </w:t>
        </w:r>
        <w:smartTag w:uri="urn:schemas-microsoft-com:office:smarttags" w:element="PlaceName">
          <w:r w:rsidRPr="00B91B10">
            <w:rPr>
              <w:i/>
              <w:sz w:val="20"/>
            </w:rPr>
            <w:t>Plant</w:t>
          </w:r>
        </w:smartTag>
        <w:r w:rsidRPr="00B91B10">
          <w:rPr>
            <w:i/>
            <w:sz w:val="20"/>
          </w:rPr>
          <w:t xml:space="preserve"> </w:t>
        </w:r>
        <w:smartTag w:uri="urn:schemas-microsoft-com:office:smarttags" w:element="PlaceName">
          <w:r w:rsidRPr="00B91B10">
            <w:rPr>
              <w:i/>
              <w:sz w:val="20"/>
            </w:rPr>
            <w:t>Data</w:t>
          </w:r>
        </w:smartTag>
        <w:r w:rsidRPr="00B91B10">
          <w:rPr>
            <w:i/>
            <w:sz w:val="20"/>
          </w:rPr>
          <w:t xml:space="preserve"> </w:t>
        </w:r>
        <w:smartTag w:uri="urn:schemas-microsoft-com:office:smarttags" w:element="PlaceType">
          <w:r w:rsidRPr="00B91B10">
            <w:rPr>
              <w:i/>
              <w:sz w:val="20"/>
            </w:rPr>
            <w:t>Center</w:t>
          </w:r>
        </w:smartTag>
      </w:smartTag>
    </w:p>
    <w:p w:rsidR="001D0799" w:rsidRPr="006F6C5D" w:rsidRDefault="001D0799" w:rsidP="001D0799">
      <w:pPr>
        <w:pStyle w:val="Heading1"/>
        <w:rPr>
          <w:i/>
        </w:rPr>
      </w:pPr>
      <w:r>
        <w:rPr>
          <w:i/>
          <w:noProof/>
        </w:rPr>
        <w:pict>
          <v:shapetype id="_x0000_t202" coordsize="21600,21600" o:spt="202" path="m,l,21600r21600,l21600,xe">
            <v:stroke joinstyle="miter"/>
            <v:path gradientshapeok="t" o:connecttype="rect"/>
          </v:shapetype>
          <v:shape id="_x0000_s1065" type="#_x0000_t202" alt="Text Box:  Line drawing of Cenchrus carolinianus.&#10;From Britton &amp; Brown (1913)&#10;@ plants.usda.gov&#10;" style="position:absolute;margin-left:0;margin-top:0;width:3in;height:315pt;z-index:251657728;mso-wrap-style:none;mso-position-horizontal-relative:char;mso-position-vertical-relative:line" stroked="f">
            <v:textbox style="mso-fit-shape-to-text:t">
              <w:txbxContent>
                <w:p w:rsidR="001D0799" w:rsidRDefault="00E80F18" w:rsidP="001D0799">
                  <w:r>
                    <w:rPr>
                      <w:noProof/>
                    </w:rPr>
                    <w:drawing>
                      <wp:inline distT="0" distB="0" distL="0" distR="0">
                        <wp:extent cx="2743200" cy="1828800"/>
                        <wp:effectExtent l="19050" t="0" r="0" b="0"/>
                        <wp:docPr id="3" name="Picture 3" descr="Cenchrus spinifex C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chrus spinifex Cav."/>
                                <pic:cNvPicPr>
                                  <a:picLocks noChangeAspect="1" noChangeArrowheads="1"/>
                                </pic:cNvPicPr>
                              </pic:nvPicPr>
                              <pic:blipFill>
                                <a:blip r:embed="rId8"/>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1D0799" w:rsidRPr="006F6C5D" w:rsidRDefault="001D0799" w:rsidP="001D0799">
                  <w:pPr>
                    <w:jc w:val="right"/>
                    <w:rPr>
                      <w:sz w:val="16"/>
                      <w:szCs w:val="16"/>
                    </w:rPr>
                  </w:pPr>
                  <w:r>
                    <w:rPr>
                      <w:sz w:val="16"/>
                      <w:szCs w:val="16"/>
                    </w:rPr>
                    <w:t>From Hitchcock</w:t>
                  </w:r>
                  <w:r w:rsidRPr="006F6C5D">
                    <w:rPr>
                      <w:sz w:val="16"/>
                      <w:szCs w:val="16"/>
                    </w:rPr>
                    <w:t xml:space="preserve"> (19</w:t>
                  </w:r>
                  <w:r>
                    <w:rPr>
                      <w:sz w:val="16"/>
                      <w:szCs w:val="16"/>
                    </w:rPr>
                    <w:t>50</w:t>
                  </w:r>
                  <w:r w:rsidRPr="006F6C5D">
                    <w:rPr>
                      <w:sz w:val="16"/>
                      <w:szCs w:val="16"/>
                    </w:rPr>
                    <w:t>)</w:t>
                  </w:r>
                </w:p>
                <w:p w:rsidR="001D0799" w:rsidRPr="006F6C5D" w:rsidRDefault="001D0799" w:rsidP="001D0799">
                  <w:pPr>
                    <w:jc w:val="right"/>
                    <w:rPr>
                      <w:sz w:val="16"/>
                      <w:szCs w:val="16"/>
                    </w:rPr>
                  </w:pPr>
                  <w:r w:rsidRPr="006F6C5D">
                    <w:rPr>
                      <w:sz w:val="16"/>
                      <w:szCs w:val="16"/>
                    </w:rPr>
                    <w:t>@ plants.usda.gov</w:t>
                  </w:r>
                </w:p>
              </w:txbxContent>
            </v:textbox>
          </v:shape>
        </w:pict>
      </w:r>
      <w:r w:rsidRPr="006F6C5D">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166.5pt">
            <v:imagedata croptop="-65520f" cropbottom="65520f"/>
          </v:shape>
        </w:pict>
      </w:r>
    </w:p>
    <w:p w:rsidR="001D0799" w:rsidRDefault="001D0799" w:rsidP="001D0799"/>
    <w:p w:rsidR="001D0799" w:rsidRPr="00B91B10" w:rsidRDefault="001D0799" w:rsidP="001D0799">
      <w:pPr>
        <w:pStyle w:val="Heading2"/>
        <w:jc w:val="left"/>
        <w:rPr>
          <w:color w:val="FF0000"/>
          <w:sz w:val="20"/>
        </w:rPr>
      </w:pPr>
      <w:r w:rsidRPr="00B91B10">
        <w:rPr>
          <w:color w:val="FF0000"/>
          <w:sz w:val="20"/>
        </w:rPr>
        <w:t>Warning: A noxious weed and invasive in some states and the burs are injurious to livestock.</w:t>
      </w:r>
    </w:p>
    <w:p w:rsidR="001D0799" w:rsidRPr="00B91B10" w:rsidRDefault="001D0799" w:rsidP="001D0799">
      <w:pPr>
        <w:pStyle w:val="Heading2"/>
        <w:jc w:val="left"/>
        <w:rPr>
          <w:sz w:val="20"/>
        </w:rPr>
      </w:pPr>
    </w:p>
    <w:p w:rsidR="001D0799" w:rsidRPr="00B91B10" w:rsidRDefault="001D0799" w:rsidP="001D0799">
      <w:pPr>
        <w:pStyle w:val="Heading2"/>
        <w:jc w:val="left"/>
        <w:rPr>
          <w:sz w:val="20"/>
        </w:rPr>
      </w:pPr>
      <w:r w:rsidRPr="00B91B10">
        <w:rPr>
          <w:sz w:val="20"/>
        </w:rPr>
        <w:t>Alternate Names</w:t>
      </w:r>
    </w:p>
    <w:p w:rsidR="001D0799" w:rsidRPr="007B448A" w:rsidRDefault="001D0799" w:rsidP="001D0799">
      <w:pPr>
        <w:jc w:val="left"/>
        <w:rPr>
          <w:sz w:val="20"/>
        </w:rPr>
      </w:pPr>
      <w:r w:rsidRPr="00B91B10">
        <w:rPr>
          <w:i/>
          <w:sz w:val="20"/>
        </w:rPr>
        <w:t xml:space="preserve">Cenchrus </w:t>
      </w:r>
      <w:r>
        <w:rPr>
          <w:i/>
          <w:sz w:val="20"/>
        </w:rPr>
        <w:t>pauciflorus</w:t>
      </w:r>
      <w:r>
        <w:rPr>
          <w:sz w:val="20"/>
        </w:rPr>
        <w:t xml:space="preserve">, coastal sandbur, </w:t>
      </w:r>
      <w:r w:rsidRPr="00BB745A">
        <w:rPr>
          <w:i/>
          <w:sz w:val="20"/>
        </w:rPr>
        <w:t>Cenchrus incertus</w:t>
      </w:r>
    </w:p>
    <w:p w:rsidR="001D0799" w:rsidRPr="00B91B10" w:rsidRDefault="001D0799" w:rsidP="001D0799">
      <w:pPr>
        <w:pStyle w:val="Heading1"/>
        <w:jc w:val="left"/>
        <w:rPr>
          <w:b w:val="0"/>
          <w:i/>
        </w:rPr>
      </w:pPr>
    </w:p>
    <w:p w:rsidR="001D0799" w:rsidRPr="00BB745A" w:rsidRDefault="001D0799" w:rsidP="001D0799">
      <w:pPr>
        <w:pStyle w:val="Heading1"/>
        <w:jc w:val="left"/>
      </w:pPr>
      <w:r w:rsidRPr="00BB745A">
        <w:t xml:space="preserve">Uses </w:t>
      </w:r>
    </w:p>
    <w:p w:rsidR="001D0799" w:rsidRPr="00B91B10" w:rsidRDefault="001D0799" w:rsidP="001D0799">
      <w:pPr>
        <w:jc w:val="left"/>
        <w:rPr>
          <w:sz w:val="20"/>
        </w:rPr>
      </w:pPr>
      <w:r w:rsidRPr="00B91B10">
        <w:rPr>
          <w:sz w:val="20"/>
        </w:rPr>
        <w:t>Before seedheads form, cattle and sheep graze mat sandbur.  Forage is of fair quality, but is seldom of significant quantity.</w:t>
      </w:r>
    </w:p>
    <w:p w:rsidR="001D0799" w:rsidRPr="00B91B10" w:rsidRDefault="001D0799" w:rsidP="001D0799">
      <w:pPr>
        <w:pStyle w:val="Heading2"/>
        <w:jc w:val="left"/>
        <w:rPr>
          <w:sz w:val="20"/>
        </w:rPr>
      </w:pPr>
    </w:p>
    <w:p w:rsidR="001D0799" w:rsidRPr="00B91B10" w:rsidRDefault="001D0799" w:rsidP="001D0799">
      <w:pPr>
        <w:pStyle w:val="Heading2"/>
        <w:jc w:val="left"/>
        <w:rPr>
          <w:sz w:val="20"/>
        </w:rPr>
      </w:pPr>
      <w:r w:rsidRPr="00B91B10">
        <w:rPr>
          <w:sz w:val="20"/>
        </w:rPr>
        <w:t>Status</w:t>
      </w:r>
    </w:p>
    <w:p w:rsidR="001D0799" w:rsidRPr="00B91B10" w:rsidRDefault="001D0799" w:rsidP="001D0799">
      <w:pPr>
        <w:jc w:val="left"/>
        <w:rPr>
          <w:sz w:val="20"/>
        </w:rPr>
      </w:pPr>
      <w:r w:rsidRPr="00B91B10">
        <w:rPr>
          <w:sz w:val="20"/>
        </w:rPr>
        <w:t>Please consult the PLANTS Web site and your State Department of Natural Resources for this plant’s current status, such as, state noxious status and wetland indicator values.  In 2005, it was considered threatened in two states, a noxious weed in two states, and invasive by several sources.</w:t>
      </w:r>
    </w:p>
    <w:p w:rsidR="001D0799" w:rsidRDefault="001D0799" w:rsidP="001D0799">
      <w:pPr>
        <w:jc w:val="left"/>
        <w:rPr>
          <w:sz w:val="20"/>
        </w:rPr>
      </w:pPr>
    </w:p>
    <w:p w:rsidR="001D0799" w:rsidRPr="0005436F" w:rsidRDefault="001D0799" w:rsidP="001D0799">
      <w:pPr>
        <w:pStyle w:val="Header3"/>
        <w:keepNext w:val="0"/>
        <w:rPr>
          <w:b w:val="0"/>
        </w:rPr>
      </w:pPr>
      <w:r>
        <w:t xml:space="preserve">Weediness </w:t>
      </w:r>
      <w:r w:rsidRPr="0005436F">
        <w:rPr>
          <w:b w:val="0"/>
        </w:rP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plants.usda.gov.  </w:t>
      </w:r>
      <w:r w:rsidRPr="0005436F">
        <w:rPr>
          <w:b w:val="0"/>
        </w:rPr>
        <w:lastRenderedPageBreak/>
        <w:t>Please consult the Related Web Sites on the Plant Profile for this species for further information.</w:t>
      </w:r>
    </w:p>
    <w:p w:rsidR="001D0799" w:rsidRPr="0005436F" w:rsidRDefault="001D0799" w:rsidP="001D0799">
      <w:pPr>
        <w:jc w:val="left"/>
        <w:rPr>
          <w:sz w:val="20"/>
        </w:rPr>
      </w:pPr>
    </w:p>
    <w:p w:rsidR="001D0799" w:rsidRPr="00B91B10" w:rsidRDefault="001D0799" w:rsidP="001D0799">
      <w:pPr>
        <w:pStyle w:val="Heading2"/>
        <w:jc w:val="left"/>
        <w:rPr>
          <w:sz w:val="20"/>
        </w:rPr>
      </w:pPr>
      <w:r w:rsidRPr="00B91B10">
        <w:rPr>
          <w:sz w:val="20"/>
        </w:rPr>
        <w:t>Description</w:t>
      </w:r>
    </w:p>
    <w:p w:rsidR="001D0799" w:rsidRDefault="001D0799" w:rsidP="001D0799">
      <w:pPr>
        <w:jc w:val="left"/>
        <w:rPr>
          <w:sz w:val="20"/>
        </w:rPr>
      </w:pPr>
      <w:r w:rsidRPr="00B91B10">
        <w:rPr>
          <w:sz w:val="20"/>
        </w:rPr>
        <w:t xml:space="preserve">Grass Family (Poaceae).  Mat sandbur is a </w:t>
      </w:r>
      <w:r>
        <w:rPr>
          <w:sz w:val="20"/>
        </w:rPr>
        <w:t xml:space="preserve">native, </w:t>
      </w:r>
      <w:r w:rsidRPr="00B91B10">
        <w:rPr>
          <w:sz w:val="20"/>
        </w:rPr>
        <w:t>warm season annual and at times, short</w:t>
      </w:r>
      <w:r w:rsidRPr="00B91B10">
        <w:rPr>
          <w:sz w:val="20"/>
        </w:rPr>
        <w:noBreakHyphen/>
        <w:t>lived perennial.  The height ranges 8 to 24 inches.  The leaf blade is 2 to 6 inches long and flat.  The leaf sheath is flattened and hairy along margins.  The stem is erect or grows along ground.  The seedhead is a raceme with 6 to 20 spiny burs covered with fine hair, each enclosing 2 spikelets, and often topped by leaves.</w:t>
      </w:r>
    </w:p>
    <w:p w:rsidR="001D0799" w:rsidRDefault="001D0799" w:rsidP="001D0799">
      <w:pPr>
        <w:jc w:val="left"/>
        <w:rPr>
          <w:sz w:val="20"/>
        </w:rPr>
      </w:pPr>
    </w:p>
    <w:p w:rsidR="001D0799" w:rsidRDefault="001D0799" w:rsidP="001D0799">
      <w:pPr>
        <w:pStyle w:val="Bodytext0"/>
      </w:pPr>
      <w:r w:rsidRPr="002375B8">
        <w:rPr>
          <w:i/>
        </w:rPr>
        <w:t>Distribution</w:t>
      </w:r>
      <w:r>
        <w:t>: For current distribution, please consult the Plant Profile page for this species on the PLANTS Web site.</w:t>
      </w:r>
    </w:p>
    <w:p w:rsidR="001D0799" w:rsidRDefault="001D0799" w:rsidP="001D0799">
      <w:pPr>
        <w:pStyle w:val="Bodytext0"/>
      </w:pPr>
    </w:p>
    <w:p w:rsidR="001D0799" w:rsidRPr="00B91B10" w:rsidRDefault="001D0799" w:rsidP="001D0799">
      <w:pPr>
        <w:pStyle w:val="Heading1"/>
        <w:jc w:val="left"/>
      </w:pPr>
      <w:r w:rsidRPr="00B91B10">
        <w:t>Management</w:t>
      </w:r>
    </w:p>
    <w:p w:rsidR="001D0799" w:rsidRPr="00B91B10" w:rsidRDefault="001D0799" w:rsidP="001D0799">
      <w:pPr>
        <w:jc w:val="left"/>
        <w:rPr>
          <w:sz w:val="20"/>
        </w:rPr>
      </w:pPr>
      <w:r w:rsidRPr="00B91B10">
        <w:rPr>
          <w:sz w:val="20"/>
        </w:rPr>
        <w:t>This grass is usually managed to reduce or eliminate it from the plant community.  Heavy grazing of mat sandbur in the spring when it is palatable and deferred grazing until fall allow more favorable associated deep</w:t>
      </w:r>
      <w:r w:rsidRPr="00B91B10">
        <w:rPr>
          <w:sz w:val="20"/>
        </w:rPr>
        <w:noBreakHyphen/>
        <w:t xml:space="preserve">rooted perennial grasses to crowd it out.  Because the burs are injurious to livestock and greatly reduce the value of wool and mohair, livestock should be removed from ranges before bur forms.  </w:t>
      </w:r>
    </w:p>
    <w:p w:rsidR="001D0799" w:rsidRPr="00B91B10" w:rsidRDefault="001D0799" w:rsidP="001D0799">
      <w:pPr>
        <w:pStyle w:val="Heading1"/>
        <w:jc w:val="left"/>
      </w:pPr>
    </w:p>
    <w:p w:rsidR="001D0799" w:rsidRPr="00B91B10" w:rsidRDefault="001D0799" w:rsidP="001D0799">
      <w:pPr>
        <w:pStyle w:val="Heading1"/>
        <w:jc w:val="left"/>
      </w:pPr>
      <w:r w:rsidRPr="00B91B10">
        <w:t>Establishment</w:t>
      </w:r>
    </w:p>
    <w:p w:rsidR="001D0799" w:rsidRPr="00B91B10" w:rsidRDefault="001D0799" w:rsidP="001D0799">
      <w:pPr>
        <w:jc w:val="left"/>
        <w:rPr>
          <w:sz w:val="20"/>
        </w:rPr>
      </w:pPr>
      <w:r w:rsidRPr="00B91B10">
        <w:rPr>
          <w:sz w:val="20"/>
        </w:rPr>
        <w:t>Mat sandbur growth starts in early spring.  The seedheads first appear about July.  Plants may become semi-dormant when moisture is scarce and green up and produce seed again after a rain.  It grows in tufts or dense mats and is best adapted to dry sandy and sandy loam soils, but grows on</w:t>
      </w:r>
      <w:r w:rsidRPr="00B91B10">
        <w:rPr>
          <w:b/>
          <w:sz w:val="20"/>
        </w:rPr>
        <w:t xml:space="preserve"> </w:t>
      </w:r>
      <w:r w:rsidRPr="00B91B10">
        <w:rPr>
          <w:sz w:val="20"/>
        </w:rPr>
        <w:t>soils of heavier texture.  This grass is particularly well adapted to waste places, old fields, and sandy flood plains.  It is an invader.  Its presence indicates a severely overused range.</w:t>
      </w:r>
    </w:p>
    <w:p w:rsidR="001D0799" w:rsidRPr="00B91B10" w:rsidRDefault="001D0799" w:rsidP="001D0799">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1D0799" w:rsidRPr="00CB0B17" w:rsidRDefault="001D0799" w:rsidP="001D0799">
      <w:pPr>
        <w:pStyle w:val="Heading2"/>
        <w:jc w:val="left"/>
        <w:rPr>
          <w:sz w:val="20"/>
        </w:rPr>
      </w:pPr>
      <w:r w:rsidRPr="00CB0B17">
        <w:rPr>
          <w:sz w:val="20"/>
        </w:rPr>
        <w:t xml:space="preserve">Cultivars, Improved and Selected Materials (and area of origin) </w:t>
      </w:r>
    </w:p>
    <w:p w:rsidR="001D0799" w:rsidRPr="00CB0B17" w:rsidRDefault="001D0799" w:rsidP="001D0799">
      <w:pPr>
        <w:pStyle w:val="PlainText"/>
        <w:rPr>
          <w:rFonts w:ascii="Times New Roman" w:hAnsi="Times New Roman"/>
          <w:b/>
        </w:rPr>
      </w:pPr>
      <w:r w:rsidRPr="00CB0B17">
        <w:rPr>
          <w:rFonts w:ascii="Times New Roman" w:hAnsi="Times New Roman"/>
        </w:rPr>
        <w:t>Please contact your local NRCS Field Office.</w:t>
      </w:r>
    </w:p>
    <w:p w:rsidR="001D0799" w:rsidRPr="00CB0B17" w:rsidRDefault="001D0799" w:rsidP="001D0799">
      <w:pPr>
        <w:pStyle w:val="Heading2"/>
        <w:jc w:val="left"/>
        <w:rPr>
          <w:b w:val="0"/>
          <w:sz w:val="20"/>
        </w:rPr>
      </w:pPr>
    </w:p>
    <w:p w:rsidR="001D0799" w:rsidRPr="00CB0B17" w:rsidRDefault="001D0799" w:rsidP="001D0799">
      <w:pPr>
        <w:jc w:val="left"/>
        <w:rPr>
          <w:b/>
          <w:sz w:val="20"/>
        </w:rPr>
      </w:pPr>
      <w:r w:rsidRPr="00CB0B17">
        <w:rPr>
          <w:b/>
          <w:sz w:val="20"/>
        </w:rPr>
        <w:t>Reference</w:t>
      </w:r>
    </w:p>
    <w:p w:rsidR="001D0799" w:rsidRPr="00F07D17" w:rsidRDefault="001D0799" w:rsidP="001D0799">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1D0799" w:rsidRPr="00F07D17" w:rsidRDefault="001D0799" w:rsidP="001D0799">
      <w:pPr>
        <w:jc w:val="left"/>
        <w:rPr>
          <w:sz w:val="20"/>
        </w:rPr>
      </w:pPr>
    </w:p>
    <w:p w:rsidR="001D0799" w:rsidRPr="00755785" w:rsidRDefault="001D0799" w:rsidP="001D0799">
      <w:pPr>
        <w:pStyle w:val="Heading2"/>
        <w:jc w:val="left"/>
        <w:rPr>
          <w:sz w:val="20"/>
        </w:rPr>
      </w:pPr>
      <w:r w:rsidRPr="00755785">
        <w:rPr>
          <w:sz w:val="20"/>
        </w:rPr>
        <w:lastRenderedPageBreak/>
        <w:t>Prepared By &amp; Species Coordinator:</w:t>
      </w:r>
    </w:p>
    <w:p w:rsidR="001D0799" w:rsidRDefault="001D0799" w:rsidP="001D0799">
      <w:pPr>
        <w:pStyle w:val="PlainText"/>
        <w:rPr>
          <w:rFonts w:ascii="Times New Roman" w:hAnsi="Times New Roman"/>
          <w:snapToGrid w:val="0"/>
        </w:rPr>
      </w:pPr>
      <w:r>
        <w:rPr>
          <w:rFonts w:ascii="Times New Roman" w:hAnsi="Times New Roman"/>
          <w:i/>
          <w:snapToGrid w:val="0"/>
        </w:rPr>
        <w:t>Percy Magee</w:t>
      </w:r>
      <w:r w:rsidR="002E1079">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1D0799" w:rsidRDefault="001D0799" w:rsidP="001D0799">
      <w:pPr>
        <w:pStyle w:val="PlainText"/>
        <w:rPr>
          <w:rFonts w:ascii="Times New Roman" w:hAnsi="Times New Roman"/>
          <w:snapToGrid w:val="0"/>
        </w:rPr>
      </w:pPr>
    </w:p>
    <w:p w:rsidR="001D0799" w:rsidRDefault="001D0799" w:rsidP="001D0799">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369" w:rsidRDefault="00D92369">
      <w:r>
        <w:separator/>
      </w:r>
    </w:p>
  </w:endnote>
  <w:endnote w:type="continuationSeparator" w:id="0">
    <w:p w:rsidR="00D92369" w:rsidRDefault="00D923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369" w:rsidRDefault="00D92369">
      <w:r>
        <w:separator/>
      </w:r>
    </w:p>
  </w:footnote>
  <w:footnote w:type="continuationSeparator" w:id="0">
    <w:p w:rsidR="00D92369" w:rsidRDefault="00D923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E80F18">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0799"/>
    <w:rsid w:val="001D3F0B"/>
    <w:rsid w:val="002148DF"/>
    <w:rsid w:val="0026727E"/>
    <w:rsid w:val="00284422"/>
    <w:rsid w:val="002B7160"/>
    <w:rsid w:val="002D7A49"/>
    <w:rsid w:val="002E1079"/>
    <w:rsid w:val="002F3BC8"/>
    <w:rsid w:val="003631C1"/>
    <w:rsid w:val="00375E14"/>
    <w:rsid w:val="00377934"/>
    <w:rsid w:val="003A2960"/>
    <w:rsid w:val="003E064E"/>
    <w:rsid w:val="003F1973"/>
    <w:rsid w:val="004052E3"/>
    <w:rsid w:val="0040539A"/>
    <w:rsid w:val="004340C9"/>
    <w:rsid w:val="00437F11"/>
    <w:rsid w:val="004577B0"/>
    <w:rsid w:val="004B7357"/>
    <w:rsid w:val="004D34B0"/>
    <w:rsid w:val="004F0A5F"/>
    <w:rsid w:val="00521D04"/>
    <w:rsid w:val="00592CFA"/>
    <w:rsid w:val="006631A2"/>
    <w:rsid w:val="00667542"/>
    <w:rsid w:val="006A7F33"/>
    <w:rsid w:val="006C47E2"/>
    <w:rsid w:val="006E5F7B"/>
    <w:rsid w:val="00717F00"/>
    <w:rsid w:val="00741185"/>
    <w:rsid w:val="00742DE3"/>
    <w:rsid w:val="007C52E4"/>
    <w:rsid w:val="007F678B"/>
    <w:rsid w:val="008455BA"/>
    <w:rsid w:val="008F3D5A"/>
    <w:rsid w:val="00942547"/>
    <w:rsid w:val="00955302"/>
    <w:rsid w:val="009A0E7A"/>
    <w:rsid w:val="009C10B0"/>
    <w:rsid w:val="009D5F78"/>
    <w:rsid w:val="00A43227"/>
    <w:rsid w:val="00B04F55"/>
    <w:rsid w:val="00B0669A"/>
    <w:rsid w:val="00B07BD5"/>
    <w:rsid w:val="00B55E68"/>
    <w:rsid w:val="00B730E7"/>
    <w:rsid w:val="00B8425D"/>
    <w:rsid w:val="00BE5356"/>
    <w:rsid w:val="00C36DFB"/>
    <w:rsid w:val="00C86821"/>
    <w:rsid w:val="00CD49CC"/>
    <w:rsid w:val="00CF7EC1"/>
    <w:rsid w:val="00D61972"/>
    <w:rsid w:val="00D62818"/>
    <w:rsid w:val="00D82E30"/>
    <w:rsid w:val="00D92369"/>
    <w:rsid w:val="00DC7C36"/>
    <w:rsid w:val="00E326CF"/>
    <w:rsid w:val="00E7139B"/>
    <w:rsid w:val="00E80F18"/>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1D0799"/>
    <w:pPr>
      <w:jc w:val="left"/>
    </w:pPr>
    <w:rPr>
      <w:rFonts w:ascii="Courier New" w:hAnsi="Courier New"/>
      <w:sz w:val="20"/>
    </w:rPr>
  </w:style>
  <w:style w:type="paragraph" w:customStyle="1" w:styleId="Preformatted">
    <w:name w:val="Preformatted"/>
    <w:basedOn w:val="Normal"/>
    <w:rsid w:val="001D0799"/>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mat sandbur</vt:lpstr>
    </vt:vector>
  </TitlesOfParts>
  <Company>USDA NRCS National Plant Data Center</Company>
  <LinksUpToDate>false</LinksUpToDate>
  <CharactersWithSpaces>4637</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sandbur</dc:title>
  <dc:subject>Cenchrus spinifex</dc:subject>
  <dc:creator>J. Scott Peterson</dc:creator>
  <cp:keywords/>
  <cp:lastModifiedBy>William Farrell</cp:lastModifiedBy>
  <cp:revision>2</cp:revision>
  <cp:lastPrinted>2003-06-09T21:39:00Z</cp:lastPrinted>
  <dcterms:created xsi:type="dcterms:W3CDTF">2011-01-25T17:17:00Z</dcterms:created>
  <dcterms:modified xsi:type="dcterms:W3CDTF">2011-01-25T17:17:00Z</dcterms:modified>
</cp:coreProperties>
</file>