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CB4192" w:rsidP="00564985">
      <w:pPr>
        <w:pStyle w:val="Heading1"/>
        <w:rPr>
          <w:i w:val="0"/>
        </w:rPr>
      </w:pPr>
      <w:r>
        <w:rPr>
          <w:i w:val="0"/>
        </w:rPr>
        <w:lastRenderedPageBreak/>
        <w:t>fowl mannagrass</w:t>
      </w:r>
    </w:p>
    <w:p w:rsidR="00CE5409" w:rsidRPr="00561A8A" w:rsidRDefault="00CB4192" w:rsidP="00561A8A">
      <w:pPr>
        <w:pStyle w:val="Heading2"/>
      </w:pPr>
      <w:proofErr w:type="spellStart"/>
      <w:proofErr w:type="gramStart"/>
      <w:r w:rsidRPr="00792D19">
        <w:rPr>
          <w:iCs/>
        </w:rPr>
        <w:t>Glyceria</w:t>
      </w:r>
      <w:proofErr w:type="spellEnd"/>
      <w:r w:rsidRPr="00792D19">
        <w:t xml:space="preserve"> </w:t>
      </w:r>
      <w:proofErr w:type="spellStart"/>
      <w:r w:rsidRPr="00792D19">
        <w:rPr>
          <w:iCs/>
        </w:rPr>
        <w:t>striata</w:t>
      </w:r>
      <w:proofErr w:type="spellEnd"/>
      <w:r w:rsidRPr="00792D19">
        <w:t xml:space="preserve"> </w:t>
      </w:r>
      <w:r w:rsidR="0062411E" w:rsidRPr="0062411E">
        <w:rPr>
          <w:i w:val="0"/>
        </w:rPr>
        <w:t>(Lam.)</w:t>
      </w:r>
      <w:r w:rsidRPr="00792D19">
        <w:t xml:space="preserve"> </w:t>
      </w:r>
      <w:proofErr w:type="spellStart"/>
      <w:r w:rsidRPr="00CB4192">
        <w:rPr>
          <w:i w:val="0"/>
        </w:rPr>
        <w:t>Hitchc</w:t>
      </w:r>
      <w:proofErr w:type="spellEnd"/>
      <w:r w:rsidRPr="00CB4192">
        <w:rPr>
          <w:i w:val="0"/>
        </w:rPr>
        <w:t>.</w:t>
      </w:r>
      <w:proofErr w:type="gramEnd"/>
    </w:p>
    <w:p w:rsidR="00CE5409" w:rsidRDefault="00CE5409" w:rsidP="00A91834">
      <w:pPr>
        <w:pStyle w:val="PlantSymbol"/>
      </w:pPr>
      <w:r w:rsidRPr="00561A8A">
        <w:t xml:space="preserve">Plant Symbol = </w:t>
      </w:r>
      <w:r w:rsidR="00CB4192">
        <w:t>GLST</w:t>
      </w:r>
    </w:p>
    <w:p w:rsidR="00CB4192" w:rsidRPr="00CB4192" w:rsidRDefault="00CB4192" w:rsidP="00A91834">
      <w:pPr>
        <w:pStyle w:val="PlantSymbol"/>
        <w:rPr>
          <w:sz w:val="20"/>
        </w:rPr>
      </w:pPr>
    </w:p>
    <w:p w:rsidR="00CB4192" w:rsidRDefault="008455BA" w:rsidP="00CB4192">
      <w:pPr>
        <w:pStyle w:val="Header2"/>
        <w:rPr>
          <w:i w:val="0"/>
        </w:rPr>
      </w:pPr>
      <w:r w:rsidRPr="00012316">
        <w:rPr>
          <w:i w:val="0"/>
        </w:rPr>
        <w:t>Contributed by:</w:t>
      </w:r>
      <w:r w:rsidRPr="00561A8A">
        <w:t xml:space="preserve"> </w:t>
      </w:r>
      <w:r w:rsidR="00A1146D" w:rsidRPr="00CB4192">
        <w:rPr>
          <w:i w:val="0"/>
        </w:rPr>
        <w:t>USDA NRCS</w:t>
      </w:r>
      <w:r w:rsidR="00A1146D">
        <w:t xml:space="preserve"> </w:t>
      </w:r>
      <w:r w:rsidR="00CB4192" w:rsidRPr="00792D19">
        <w:rPr>
          <w:i w:val="0"/>
        </w:rPr>
        <w:t xml:space="preserve">Plant Materials Center, Corvallis, Oregon </w:t>
      </w:r>
    </w:p>
    <w:p w:rsidR="00CB4192" w:rsidRPr="00CB4192" w:rsidRDefault="00CB4192" w:rsidP="00CB4192">
      <w:pPr>
        <w:pStyle w:val="Header2"/>
        <w:rPr>
          <w:i w:val="0"/>
          <w:sz w:val="12"/>
          <w:szCs w:val="12"/>
        </w:rPr>
      </w:pPr>
    </w:p>
    <w:p w:rsidR="00A1146D" w:rsidRDefault="00CB4192" w:rsidP="00CB4192">
      <w:pPr>
        <w:pStyle w:val="Header2"/>
      </w:pPr>
      <w:r w:rsidRPr="00CB4192">
        <w:rPr>
          <w:noProof/>
        </w:rPr>
        <w:drawing>
          <wp:inline distT="0" distB="0" distL="0" distR="0">
            <wp:extent cx="2562225" cy="3800475"/>
            <wp:effectExtent l="19050" t="0" r="9525" b="0"/>
            <wp:docPr id="7" name="Picture 3" descr="Color image of fowl managrass plant growing in shallow water in its native hab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Glyceria elata by Dale Darris."/>
                    <pic:cNvPicPr>
                      <a:picLocks noChangeAspect="1" noChangeArrowheads="1"/>
                    </pic:cNvPicPr>
                  </pic:nvPicPr>
                  <pic:blipFill>
                    <a:blip r:embed="rId9" cstate="print"/>
                    <a:srcRect/>
                    <a:stretch>
                      <a:fillRect/>
                    </a:stretch>
                  </pic:blipFill>
                  <pic:spPr bwMode="auto">
                    <a:xfrm>
                      <a:off x="0" y="0"/>
                      <a:ext cx="2562225" cy="3800475"/>
                    </a:xfrm>
                    <a:prstGeom prst="rect">
                      <a:avLst/>
                    </a:prstGeom>
                    <a:noFill/>
                    <a:ln w="9525">
                      <a:noFill/>
                      <a:miter lim="800000"/>
                      <a:headEnd/>
                      <a:tailEnd/>
                    </a:ln>
                  </pic:spPr>
                </pic:pic>
              </a:graphicData>
            </a:graphic>
          </wp:inline>
        </w:drawing>
      </w:r>
    </w:p>
    <w:p w:rsidR="00CB4192" w:rsidRPr="00792D19" w:rsidRDefault="00CB4192" w:rsidP="00CB4192">
      <w:pPr>
        <w:pStyle w:val="Caption"/>
        <w:jc w:val="left"/>
        <w:rPr>
          <w:b w:val="0"/>
          <w:i/>
          <w:sz w:val="16"/>
          <w:szCs w:val="16"/>
        </w:rPr>
      </w:pPr>
      <w:r w:rsidRPr="00792D19">
        <w:rPr>
          <w:b w:val="0"/>
          <w:i/>
          <w:sz w:val="16"/>
          <w:szCs w:val="16"/>
        </w:rPr>
        <w:t>Photo by Dale Darris, USDA NRCS Corvallis PMC.</w:t>
      </w:r>
    </w:p>
    <w:p w:rsidR="00CB4192" w:rsidRPr="00CB4192" w:rsidRDefault="00CB4192" w:rsidP="00CB4192">
      <w:pPr>
        <w:pStyle w:val="Header3"/>
        <w:rPr>
          <w:sz w:val="16"/>
          <w:szCs w:val="16"/>
        </w:rPr>
      </w:pPr>
    </w:p>
    <w:p w:rsidR="00CB4192" w:rsidRPr="00792D19" w:rsidRDefault="00CB4192" w:rsidP="00CB4192">
      <w:pPr>
        <w:pStyle w:val="Header3"/>
        <w:rPr>
          <w:i/>
        </w:rPr>
      </w:pPr>
      <w:r w:rsidRPr="00792D19">
        <w:t>Alternative Names</w:t>
      </w:r>
    </w:p>
    <w:p w:rsidR="00CB4192" w:rsidRPr="00792D19" w:rsidRDefault="00CB4192" w:rsidP="00CB4192">
      <w:pPr>
        <w:pStyle w:val="Bodytext0"/>
      </w:pPr>
      <w:r w:rsidRPr="00834D84">
        <w:rPr>
          <w:i/>
        </w:rPr>
        <w:t>Alternate Common Names</w:t>
      </w:r>
      <w:r w:rsidRPr="00792D19">
        <w:t xml:space="preserve">:  tall </w:t>
      </w:r>
      <w:proofErr w:type="spellStart"/>
      <w:r w:rsidRPr="00792D19">
        <w:t>mannagrass</w:t>
      </w:r>
      <w:proofErr w:type="spellEnd"/>
    </w:p>
    <w:p w:rsidR="00CB4192" w:rsidRPr="00792D19" w:rsidRDefault="00CB4192" w:rsidP="00CB4192">
      <w:pPr>
        <w:pStyle w:val="Bodytext0"/>
      </w:pPr>
      <w:r w:rsidRPr="00834D84">
        <w:rPr>
          <w:i/>
        </w:rPr>
        <w:t>Alternate Scientific Names</w:t>
      </w:r>
      <w:r w:rsidRPr="00792D19">
        <w:t xml:space="preserve">:  </w:t>
      </w:r>
      <w:proofErr w:type="spellStart"/>
      <w:r w:rsidRPr="00834D84">
        <w:rPr>
          <w:i/>
        </w:rPr>
        <w:t>Glyceria</w:t>
      </w:r>
      <w:proofErr w:type="spellEnd"/>
      <w:r w:rsidRPr="00834D84">
        <w:rPr>
          <w:i/>
        </w:rPr>
        <w:t xml:space="preserve"> </w:t>
      </w:r>
      <w:proofErr w:type="spellStart"/>
      <w:r w:rsidRPr="00834D84">
        <w:rPr>
          <w:i/>
        </w:rPr>
        <w:t>elata</w:t>
      </w:r>
      <w:proofErr w:type="spellEnd"/>
      <w:r w:rsidRPr="00834D84">
        <w:rPr>
          <w:i/>
        </w:rPr>
        <w:t xml:space="preserve">, </w:t>
      </w:r>
      <w:proofErr w:type="spellStart"/>
      <w:r w:rsidRPr="00834D84">
        <w:rPr>
          <w:i/>
        </w:rPr>
        <w:t>Glyceria</w:t>
      </w:r>
      <w:proofErr w:type="spellEnd"/>
      <w:r w:rsidRPr="00834D84">
        <w:rPr>
          <w:i/>
        </w:rPr>
        <w:t xml:space="preserve"> </w:t>
      </w:r>
      <w:proofErr w:type="spellStart"/>
      <w:r w:rsidRPr="00834D84">
        <w:rPr>
          <w:i/>
        </w:rPr>
        <w:t>nervata</w:t>
      </w:r>
      <w:proofErr w:type="spellEnd"/>
      <w:r w:rsidRPr="00834D84">
        <w:rPr>
          <w:i/>
        </w:rPr>
        <w:t xml:space="preserve">, </w:t>
      </w:r>
      <w:proofErr w:type="spellStart"/>
      <w:r w:rsidRPr="00834D84">
        <w:rPr>
          <w:i/>
        </w:rPr>
        <w:t>Glyceria</w:t>
      </w:r>
      <w:proofErr w:type="spellEnd"/>
      <w:r w:rsidRPr="00834D84">
        <w:rPr>
          <w:i/>
        </w:rPr>
        <w:t xml:space="preserve"> </w:t>
      </w:r>
      <w:proofErr w:type="spellStart"/>
      <w:r w:rsidRPr="00834D84">
        <w:rPr>
          <w:i/>
        </w:rPr>
        <w:t>striata</w:t>
      </w:r>
      <w:proofErr w:type="spellEnd"/>
      <w:r w:rsidRPr="00834D84">
        <w:rPr>
          <w:i/>
        </w:rPr>
        <w:t xml:space="preserve"> </w:t>
      </w:r>
      <w:r w:rsidRPr="00834D84">
        <w:t>ssp</w:t>
      </w:r>
      <w:r w:rsidRPr="00834D84">
        <w:rPr>
          <w:i/>
        </w:rPr>
        <w:t xml:space="preserve">. </w:t>
      </w:r>
      <w:proofErr w:type="spellStart"/>
      <w:r w:rsidRPr="00834D84">
        <w:rPr>
          <w:i/>
        </w:rPr>
        <w:t>stricta</w:t>
      </w:r>
      <w:proofErr w:type="spellEnd"/>
      <w:r w:rsidRPr="00834D84">
        <w:rPr>
          <w:i/>
        </w:rPr>
        <w:t xml:space="preserve">, </w:t>
      </w:r>
      <w:proofErr w:type="spellStart"/>
      <w:r w:rsidRPr="00834D84">
        <w:rPr>
          <w:i/>
        </w:rPr>
        <w:t>Glyceria</w:t>
      </w:r>
      <w:proofErr w:type="spellEnd"/>
      <w:r w:rsidRPr="00834D84">
        <w:rPr>
          <w:i/>
        </w:rPr>
        <w:t xml:space="preserve"> </w:t>
      </w:r>
      <w:proofErr w:type="spellStart"/>
      <w:r w:rsidRPr="00834D84">
        <w:rPr>
          <w:i/>
        </w:rPr>
        <w:t>striata</w:t>
      </w:r>
      <w:proofErr w:type="spellEnd"/>
      <w:r w:rsidRPr="00834D84">
        <w:rPr>
          <w:i/>
        </w:rPr>
        <w:t xml:space="preserve"> </w:t>
      </w:r>
      <w:r w:rsidRPr="00834D84">
        <w:t>var</w:t>
      </w:r>
      <w:r w:rsidRPr="00834D84">
        <w:rPr>
          <w:i/>
        </w:rPr>
        <w:t xml:space="preserve">. </w:t>
      </w:r>
      <w:proofErr w:type="spellStart"/>
      <w:r w:rsidRPr="00834D84">
        <w:rPr>
          <w:i/>
        </w:rPr>
        <w:t>stricta</w:t>
      </w:r>
      <w:proofErr w:type="spellEnd"/>
      <w:r w:rsidRPr="00834D84">
        <w:rPr>
          <w:i/>
        </w:rPr>
        <w:t xml:space="preserve">, </w:t>
      </w:r>
      <w:proofErr w:type="spellStart"/>
      <w:r w:rsidRPr="00834D84">
        <w:rPr>
          <w:i/>
        </w:rPr>
        <w:t>Panicularia</w:t>
      </w:r>
      <w:proofErr w:type="spellEnd"/>
      <w:r w:rsidRPr="00834D84">
        <w:rPr>
          <w:i/>
        </w:rPr>
        <w:t xml:space="preserve"> </w:t>
      </w:r>
      <w:proofErr w:type="spellStart"/>
      <w:r w:rsidRPr="00834D84">
        <w:rPr>
          <w:i/>
        </w:rPr>
        <w:t>nervata</w:t>
      </w:r>
      <w:proofErr w:type="spellEnd"/>
      <w:r w:rsidRPr="00834D84">
        <w:rPr>
          <w:i/>
        </w:rPr>
        <w:t xml:space="preserve">, </w:t>
      </w:r>
      <w:proofErr w:type="spellStart"/>
      <w:r w:rsidRPr="00834D84">
        <w:rPr>
          <w:i/>
        </w:rPr>
        <w:t>Panicularia</w:t>
      </w:r>
      <w:proofErr w:type="spellEnd"/>
      <w:r w:rsidRPr="00834D84">
        <w:rPr>
          <w:i/>
        </w:rPr>
        <w:t xml:space="preserve"> </w:t>
      </w:r>
      <w:proofErr w:type="spellStart"/>
      <w:r w:rsidRPr="00834D84">
        <w:rPr>
          <w:i/>
        </w:rPr>
        <w:t>striata</w:t>
      </w:r>
      <w:proofErr w:type="spellEnd"/>
    </w:p>
    <w:p w:rsidR="00CB4192" w:rsidRPr="003631C1" w:rsidRDefault="00CB4192" w:rsidP="00CB4192">
      <w:pPr>
        <w:tabs>
          <w:tab w:val="left" w:pos="2430"/>
        </w:tabs>
        <w:jc w:val="left"/>
        <w:rPr>
          <w:sz w:val="20"/>
        </w:rPr>
      </w:pPr>
    </w:p>
    <w:p w:rsidR="00CB4192" w:rsidRDefault="00CB4192" w:rsidP="00CB4192">
      <w:pPr>
        <w:pStyle w:val="Header3"/>
      </w:pPr>
      <w:r>
        <w:t>Uses</w:t>
      </w:r>
    </w:p>
    <w:p w:rsidR="00CB4192" w:rsidRDefault="00CB4192" w:rsidP="00CB4192">
      <w:pPr>
        <w:tabs>
          <w:tab w:val="left" w:pos="2430"/>
        </w:tabs>
        <w:jc w:val="left"/>
        <w:rPr>
          <w:sz w:val="20"/>
        </w:rPr>
      </w:pPr>
      <w:r>
        <w:rPr>
          <w:sz w:val="20"/>
        </w:rPr>
        <w:t>Fowl</w:t>
      </w:r>
      <w:r w:rsidRPr="00746B92">
        <w:rPr>
          <w:sz w:val="20"/>
        </w:rPr>
        <w:t xml:space="preserve"> </w:t>
      </w:r>
      <w:proofErr w:type="spellStart"/>
      <w:r w:rsidRPr="00746B92">
        <w:rPr>
          <w:sz w:val="20"/>
        </w:rPr>
        <w:t>mannagrass</w:t>
      </w:r>
      <w:proofErr w:type="spellEnd"/>
      <w:r>
        <w:rPr>
          <w:sz w:val="20"/>
        </w:rPr>
        <w:t xml:space="preserve"> is a rapidly establishing native species</w:t>
      </w:r>
      <w:r w:rsidRPr="00746B92">
        <w:rPr>
          <w:sz w:val="20"/>
        </w:rPr>
        <w:t xml:space="preserve"> suitable for restoration of swamps</w:t>
      </w:r>
      <w:r>
        <w:rPr>
          <w:sz w:val="20"/>
        </w:rPr>
        <w:t>,</w:t>
      </w:r>
      <w:r w:rsidRPr="00746B92">
        <w:rPr>
          <w:sz w:val="20"/>
        </w:rPr>
        <w:t xml:space="preserve"> the edges of marshe</w:t>
      </w:r>
      <w:r>
        <w:rPr>
          <w:sz w:val="20"/>
        </w:rPr>
        <w:t>s, ponds, and</w:t>
      </w:r>
      <w:r w:rsidRPr="00746B92">
        <w:rPr>
          <w:sz w:val="20"/>
        </w:rPr>
        <w:t xml:space="preserve"> streams</w:t>
      </w:r>
      <w:r>
        <w:rPr>
          <w:sz w:val="20"/>
        </w:rPr>
        <w:t>, and other wetland plant communities where an herbaceous understory is desired.</w:t>
      </w:r>
      <w:r w:rsidRPr="00746B92">
        <w:rPr>
          <w:sz w:val="20"/>
        </w:rPr>
        <w:t xml:space="preserve"> </w:t>
      </w:r>
      <w:r>
        <w:rPr>
          <w:sz w:val="20"/>
        </w:rPr>
        <w:t xml:space="preserve"> </w:t>
      </w:r>
      <w:r w:rsidRPr="00746B92">
        <w:rPr>
          <w:sz w:val="20"/>
        </w:rPr>
        <w:t xml:space="preserve"> It </w:t>
      </w:r>
      <w:r>
        <w:rPr>
          <w:sz w:val="20"/>
        </w:rPr>
        <w:t>has versatility for use</w:t>
      </w:r>
      <w:r w:rsidRPr="00746B92">
        <w:rPr>
          <w:sz w:val="20"/>
        </w:rPr>
        <w:t xml:space="preserve"> along creeks and ditch bottoms where exposure may vary from full sun to dense shade</w:t>
      </w:r>
      <w:r>
        <w:rPr>
          <w:sz w:val="20"/>
        </w:rPr>
        <w:t>, thereby improving soil stability beyond the use of woody plants alone</w:t>
      </w:r>
      <w:r w:rsidRPr="00746B92">
        <w:rPr>
          <w:sz w:val="20"/>
        </w:rPr>
        <w:t>.</w:t>
      </w:r>
      <w:r>
        <w:rPr>
          <w:b/>
          <w:sz w:val="20"/>
        </w:rPr>
        <w:t xml:space="preserve">  </w:t>
      </w:r>
      <w:r w:rsidRPr="00D37DEA">
        <w:rPr>
          <w:sz w:val="20"/>
        </w:rPr>
        <w:t>Where this species dominates, herbage</w:t>
      </w:r>
      <w:r>
        <w:rPr>
          <w:sz w:val="20"/>
        </w:rPr>
        <w:t xml:space="preserve"> production is high.  Palatability of </w:t>
      </w:r>
      <w:r w:rsidRPr="00696394">
        <w:rPr>
          <w:i/>
          <w:sz w:val="20"/>
        </w:rPr>
        <w:t xml:space="preserve">G. </w:t>
      </w:r>
      <w:proofErr w:type="spellStart"/>
      <w:r w:rsidRPr="00696394">
        <w:rPr>
          <w:i/>
          <w:sz w:val="20"/>
        </w:rPr>
        <w:t>striata</w:t>
      </w:r>
      <w:proofErr w:type="spellEnd"/>
      <w:r>
        <w:rPr>
          <w:sz w:val="20"/>
        </w:rPr>
        <w:t xml:space="preserve"> is rated good to very good for cattle and horses which consume both flower stems and leaves.  It is rated fair to good for sheep which tend to use only the leaves.  The seed </w:t>
      </w:r>
      <w:r>
        <w:rPr>
          <w:sz w:val="20"/>
        </w:rPr>
        <w:lastRenderedPageBreak/>
        <w:t xml:space="preserve">is food for waterfowl and birds while the foliage and tall stems provide good wildlife cover.  Foliage is seasonally grazed at a light to heavy rate by deer, muskrat, and bears.  Elk can make minor use of it as well.  Fowl </w:t>
      </w:r>
      <w:proofErr w:type="spellStart"/>
      <w:r>
        <w:rPr>
          <w:sz w:val="20"/>
        </w:rPr>
        <w:t>mannagrass</w:t>
      </w:r>
      <w:proofErr w:type="spellEnd"/>
      <w:r>
        <w:rPr>
          <w:sz w:val="20"/>
        </w:rPr>
        <w:t xml:space="preserve"> may be applicable to seeding mixtures targeted to improve species richness and exclude reed </w:t>
      </w:r>
      <w:proofErr w:type="spellStart"/>
      <w:r>
        <w:rPr>
          <w:sz w:val="20"/>
        </w:rPr>
        <w:t>canarygrass</w:t>
      </w:r>
      <w:proofErr w:type="spellEnd"/>
      <w:r>
        <w:rPr>
          <w:sz w:val="20"/>
        </w:rPr>
        <w:t xml:space="preserve"> (</w:t>
      </w:r>
      <w:proofErr w:type="spellStart"/>
      <w:r w:rsidRPr="008F7B4D">
        <w:rPr>
          <w:i/>
          <w:sz w:val="20"/>
        </w:rPr>
        <w:t>Phalaris</w:t>
      </w:r>
      <w:proofErr w:type="spellEnd"/>
      <w:r w:rsidRPr="008F7B4D">
        <w:rPr>
          <w:i/>
          <w:sz w:val="20"/>
        </w:rPr>
        <w:t xml:space="preserve"> </w:t>
      </w:r>
      <w:proofErr w:type="spellStart"/>
      <w:r w:rsidRPr="008F7B4D">
        <w:rPr>
          <w:i/>
          <w:sz w:val="20"/>
        </w:rPr>
        <w:t>arundinacea</w:t>
      </w:r>
      <w:proofErr w:type="spellEnd"/>
      <w:r>
        <w:rPr>
          <w:sz w:val="20"/>
        </w:rPr>
        <w:t>) prior to its invasion.  It is occasionally planted as an ornamental in and around backyard ponds.</w:t>
      </w:r>
    </w:p>
    <w:p w:rsidR="00CB4192" w:rsidRPr="00551F3E" w:rsidRDefault="00CB4192" w:rsidP="00CB4192">
      <w:pPr>
        <w:tabs>
          <w:tab w:val="left" w:pos="2430"/>
        </w:tabs>
        <w:jc w:val="left"/>
        <w:rPr>
          <w:sz w:val="16"/>
          <w:szCs w:val="16"/>
        </w:rPr>
      </w:pPr>
    </w:p>
    <w:p w:rsidR="00CB4192" w:rsidRDefault="00CB4192" w:rsidP="00CB4192">
      <w:pPr>
        <w:pStyle w:val="Header3"/>
      </w:pPr>
      <w:r>
        <w:t>Status</w:t>
      </w:r>
    </w:p>
    <w:p w:rsidR="00CB4192" w:rsidRDefault="00CB4192" w:rsidP="00CB4192">
      <w:pPr>
        <w:pStyle w:val="Bodytext0"/>
      </w:pPr>
      <w:r>
        <w:t>Please consult the PLANTS Web site and your State Department of Natural Resources for this plant’s current status (e.g. threatened or endangered species, state noxious status, and wetland indicator values).</w:t>
      </w:r>
    </w:p>
    <w:p w:rsidR="00CB4192" w:rsidRPr="00551F3E" w:rsidRDefault="00CB4192" w:rsidP="00CB4192">
      <w:pPr>
        <w:tabs>
          <w:tab w:val="left" w:pos="2430"/>
        </w:tabs>
        <w:jc w:val="left"/>
        <w:rPr>
          <w:b/>
          <w:sz w:val="16"/>
          <w:szCs w:val="16"/>
        </w:rPr>
      </w:pPr>
    </w:p>
    <w:p w:rsidR="00CB4192" w:rsidRDefault="00CB4192" w:rsidP="00CB4192">
      <w:pPr>
        <w:pStyle w:val="Header3"/>
      </w:pPr>
      <w:r>
        <w:t>Description and Adaptation</w:t>
      </w:r>
    </w:p>
    <w:p w:rsidR="00CB4192" w:rsidRDefault="00CB4192" w:rsidP="00CB4192">
      <w:pPr>
        <w:tabs>
          <w:tab w:val="left" w:pos="2430"/>
        </w:tabs>
        <w:jc w:val="left"/>
        <w:rPr>
          <w:sz w:val="20"/>
        </w:rPr>
      </w:pPr>
      <w:r>
        <w:rPr>
          <w:sz w:val="20"/>
        </w:rPr>
        <w:t xml:space="preserve">In the Pacific Northwest, fowl </w:t>
      </w:r>
      <w:proofErr w:type="spellStart"/>
      <w:r>
        <w:rPr>
          <w:sz w:val="20"/>
        </w:rPr>
        <w:t>mannagrass</w:t>
      </w:r>
      <w:proofErr w:type="spellEnd"/>
      <w:r>
        <w:rPr>
          <w:sz w:val="20"/>
        </w:rPr>
        <w:t xml:space="preserve"> is a long-</w:t>
      </w:r>
      <w:r w:rsidRPr="00110A95">
        <w:rPr>
          <w:sz w:val="20"/>
        </w:rPr>
        <w:t xml:space="preserve">lived, cool season perennial bunchgrass with </w:t>
      </w:r>
      <w:r>
        <w:rPr>
          <w:sz w:val="20"/>
        </w:rPr>
        <w:t xml:space="preserve">somewhat succulent </w:t>
      </w:r>
      <w:r w:rsidRPr="00110A95">
        <w:rPr>
          <w:sz w:val="20"/>
        </w:rPr>
        <w:t>stems (culms) that reach a height of 100 to 1</w:t>
      </w:r>
      <w:r>
        <w:rPr>
          <w:sz w:val="20"/>
        </w:rPr>
        <w:t>8</w:t>
      </w:r>
      <w:r w:rsidRPr="00110A95">
        <w:rPr>
          <w:sz w:val="20"/>
        </w:rPr>
        <w:t>0 cm</w:t>
      </w:r>
      <w:r>
        <w:rPr>
          <w:sz w:val="20"/>
        </w:rPr>
        <w:t xml:space="preserve">.  The form is erect, robust, and clumpy despite the production of slow growing rhizomes or underground stems.  Rate of spread may vary among populations.  Leaf blades are soft, ribbon-like, 6 to 12 mm wide and 15 to 25 cm long.  The </w:t>
      </w:r>
      <w:proofErr w:type="spellStart"/>
      <w:r>
        <w:rPr>
          <w:sz w:val="20"/>
        </w:rPr>
        <w:t>flowerhead</w:t>
      </w:r>
      <w:proofErr w:type="spellEnd"/>
      <w:r>
        <w:rPr>
          <w:sz w:val="20"/>
        </w:rPr>
        <w:t xml:space="preserve"> (panicle) is loose, broad, pyramid-like, and 8 to 27 cm long with spreading and drooping branches.   </w:t>
      </w:r>
      <w:r w:rsidRPr="008905E9">
        <w:rPr>
          <w:sz w:val="20"/>
        </w:rPr>
        <w:t xml:space="preserve">Populations previously described </w:t>
      </w:r>
      <w:r>
        <w:rPr>
          <w:sz w:val="20"/>
        </w:rPr>
        <w:t>for</w:t>
      </w:r>
      <w:r w:rsidRPr="008905E9">
        <w:rPr>
          <w:i/>
          <w:sz w:val="20"/>
        </w:rPr>
        <w:t xml:space="preserve"> G. </w:t>
      </w:r>
      <w:proofErr w:type="spellStart"/>
      <w:r w:rsidRPr="008905E9">
        <w:rPr>
          <w:i/>
          <w:sz w:val="20"/>
        </w:rPr>
        <w:t>striata</w:t>
      </w:r>
      <w:proofErr w:type="spellEnd"/>
      <w:r>
        <w:rPr>
          <w:i/>
          <w:sz w:val="20"/>
        </w:rPr>
        <w:t xml:space="preserve"> </w:t>
      </w:r>
      <w:r w:rsidRPr="00422FB6">
        <w:rPr>
          <w:sz w:val="20"/>
        </w:rPr>
        <w:t xml:space="preserve">include </w:t>
      </w:r>
      <w:r>
        <w:rPr>
          <w:sz w:val="20"/>
        </w:rPr>
        <w:t xml:space="preserve">plants that are </w:t>
      </w:r>
      <w:r w:rsidRPr="008905E9">
        <w:rPr>
          <w:sz w:val="20"/>
        </w:rPr>
        <w:t>shorter</w:t>
      </w:r>
      <w:r>
        <w:rPr>
          <w:sz w:val="20"/>
        </w:rPr>
        <w:t xml:space="preserve"> and tougher with smaller leaves (2 to 5 mm wide) and flower heads that are more closed.  </w:t>
      </w:r>
      <w:r w:rsidRPr="00221613">
        <w:rPr>
          <w:i/>
          <w:sz w:val="20"/>
        </w:rPr>
        <w:t xml:space="preserve">G. </w:t>
      </w:r>
      <w:proofErr w:type="spellStart"/>
      <w:r w:rsidRPr="00221613">
        <w:rPr>
          <w:i/>
          <w:sz w:val="20"/>
        </w:rPr>
        <w:t>striata</w:t>
      </w:r>
      <w:proofErr w:type="spellEnd"/>
      <w:r>
        <w:rPr>
          <w:sz w:val="20"/>
        </w:rPr>
        <w:t xml:space="preserve"> occurs across most of North America.</w:t>
      </w:r>
    </w:p>
    <w:p w:rsidR="003C5000" w:rsidRPr="00CB4192" w:rsidRDefault="003C5000" w:rsidP="0074131F">
      <w:pPr>
        <w:tabs>
          <w:tab w:val="left" w:pos="2430"/>
        </w:tabs>
        <w:jc w:val="left"/>
        <w:rPr>
          <w:sz w:val="16"/>
          <w:szCs w:val="16"/>
        </w:rPr>
      </w:pPr>
    </w:p>
    <w:p w:rsidR="00CB4192" w:rsidRDefault="00CB4192" w:rsidP="0074131F">
      <w:pPr>
        <w:tabs>
          <w:tab w:val="left" w:pos="2430"/>
        </w:tabs>
        <w:jc w:val="left"/>
      </w:pPr>
      <w:r w:rsidRPr="00CB4192">
        <w:rPr>
          <w:noProof/>
        </w:rPr>
        <w:drawing>
          <wp:inline distT="0" distB="0" distL="0" distR="0">
            <wp:extent cx="2971800" cy="2468880"/>
            <wp:effectExtent l="19050" t="0" r="0" b="0"/>
            <wp:docPr id="6" name="Picture 5" descr="Map illustrating the distribution of fowl mannagrass across all of North America except for the Arctic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ST.png"/>
                    <pic:cNvPicPr/>
                  </pic:nvPicPr>
                  <pic:blipFill>
                    <a:blip r:embed="rId10" cstate="print"/>
                    <a:stretch>
                      <a:fillRect/>
                    </a:stretch>
                  </pic:blipFill>
                  <pic:spPr>
                    <a:xfrm>
                      <a:off x="0" y="0"/>
                      <a:ext cx="2971800" cy="2468880"/>
                    </a:xfrm>
                    <a:prstGeom prst="rect">
                      <a:avLst/>
                    </a:prstGeom>
                  </pic:spPr>
                </pic:pic>
              </a:graphicData>
            </a:graphic>
          </wp:inline>
        </w:drawing>
      </w:r>
    </w:p>
    <w:p w:rsidR="00CB4192" w:rsidRPr="007907EA" w:rsidRDefault="00CB4192" w:rsidP="00CB4192">
      <w:pPr>
        <w:pStyle w:val="Caption"/>
        <w:spacing w:after="120"/>
        <w:jc w:val="left"/>
        <w:rPr>
          <w:b w:val="0"/>
          <w:i/>
          <w:sz w:val="16"/>
          <w:szCs w:val="16"/>
        </w:rPr>
      </w:pPr>
      <w:r>
        <w:rPr>
          <w:b w:val="0"/>
          <w:i/>
          <w:sz w:val="16"/>
          <w:szCs w:val="16"/>
        </w:rPr>
        <w:t xml:space="preserve">Fowl </w:t>
      </w:r>
      <w:proofErr w:type="spellStart"/>
      <w:r>
        <w:rPr>
          <w:b w:val="0"/>
          <w:i/>
          <w:sz w:val="16"/>
          <w:szCs w:val="16"/>
        </w:rPr>
        <w:t>mannagrass</w:t>
      </w:r>
      <w:proofErr w:type="spellEnd"/>
      <w:r w:rsidRPr="007907EA">
        <w:rPr>
          <w:b w:val="0"/>
          <w:i/>
          <w:sz w:val="16"/>
          <w:szCs w:val="16"/>
        </w:rPr>
        <w:t xml:space="preserve"> distribution from USDA-NRCS PLANTS Database.</w:t>
      </w:r>
    </w:p>
    <w:p w:rsidR="00CB4192" w:rsidRDefault="00CB4192" w:rsidP="00CB4192">
      <w:pPr>
        <w:tabs>
          <w:tab w:val="left" w:pos="2430"/>
        </w:tabs>
        <w:jc w:val="left"/>
        <w:rPr>
          <w:sz w:val="20"/>
        </w:rPr>
      </w:pPr>
      <w:r w:rsidRPr="00242080">
        <w:rPr>
          <w:i/>
          <w:sz w:val="20"/>
        </w:rPr>
        <w:t>Key to identification:</w:t>
      </w:r>
      <w:r>
        <w:rPr>
          <w:b/>
          <w:sz w:val="20"/>
        </w:rPr>
        <w:t xml:space="preserve"> </w:t>
      </w:r>
      <w:r>
        <w:rPr>
          <w:sz w:val="20"/>
        </w:rPr>
        <w:t xml:space="preserve">Fowl </w:t>
      </w:r>
      <w:proofErr w:type="spellStart"/>
      <w:r>
        <w:rPr>
          <w:sz w:val="20"/>
        </w:rPr>
        <w:t>mannagrass</w:t>
      </w:r>
      <w:proofErr w:type="spellEnd"/>
      <w:r>
        <w:rPr>
          <w:sz w:val="20"/>
        </w:rPr>
        <w:t xml:space="preserve"> can be easily confused with reed </w:t>
      </w:r>
      <w:proofErr w:type="spellStart"/>
      <w:r>
        <w:rPr>
          <w:sz w:val="20"/>
        </w:rPr>
        <w:t>mannagrass</w:t>
      </w:r>
      <w:proofErr w:type="spellEnd"/>
      <w:r>
        <w:rPr>
          <w:sz w:val="20"/>
        </w:rPr>
        <w:t xml:space="preserve"> (</w:t>
      </w:r>
      <w:proofErr w:type="spellStart"/>
      <w:r w:rsidRPr="001F0FA0">
        <w:rPr>
          <w:i/>
          <w:sz w:val="20"/>
        </w:rPr>
        <w:t>Glyceria</w:t>
      </w:r>
      <w:proofErr w:type="spellEnd"/>
      <w:r w:rsidRPr="001F0FA0">
        <w:rPr>
          <w:i/>
          <w:sz w:val="20"/>
        </w:rPr>
        <w:t xml:space="preserve"> </w:t>
      </w:r>
      <w:proofErr w:type="spellStart"/>
      <w:r w:rsidRPr="001F0FA0">
        <w:rPr>
          <w:i/>
          <w:sz w:val="20"/>
        </w:rPr>
        <w:t>grandis</w:t>
      </w:r>
      <w:proofErr w:type="spellEnd"/>
      <w:r>
        <w:rPr>
          <w:sz w:val="20"/>
        </w:rPr>
        <w:t xml:space="preserve">), which has smoother leaves and lacks its slightly rough texture.  Others </w:t>
      </w:r>
      <w:proofErr w:type="spellStart"/>
      <w:r>
        <w:rPr>
          <w:sz w:val="20"/>
        </w:rPr>
        <w:t>mannagrasses</w:t>
      </w:r>
      <w:proofErr w:type="spellEnd"/>
      <w:r>
        <w:rPr>
          <w:sz w:val="20"/>
        </w:rPr>
        <w:t xml:space="preserve"> are easier to distinguish, but a botanical key should be consulted.</w:t>
      </w:r>
    </w:p>
    <w:p w:rsidR="003C5000" w:rsidRDefault="00CB4192" w:rsidP="00A1146D">
      <w:pPr>
        <w:pStyle w:val="CaptionNRCS"/>
      </w:pPr>
      <w:r w:rsidRPr="00CB4192">
        <w:rPr>
          <w:noProof/>
        </w:rPr>
        <w:lastRenderedPageBreak/>
        <w:drawing>
          <wp:inline distT="0" distB="0" distL="0" distR="0">
            <wp:extent cx="1920240" cy="2695528"/>
            <wp:effectExtent l="19050" t="0" r="3810" b="0"/>
            <wp:docPr id="8" name="Picture 4" descr="Line drawing of Glyceria elata by permission from the University of Washington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 drawing of Glyceria elata by permission from the University of Washington Press."/>
                    <pic:cNvPicPr>
                      <a:picLocks noChangeAspect="1" noChangeArrowheads="1"/>
                    </pic:cNvPicPr>
                  </pic:nvPicPr>
                  <pic:blipFill>
                    <a:blip r:embed="rId11" cstate="print"/>
                    <a:srcRect/>
                    <a:stretch>
                      <a:fillRect/>
                    </a:stretch>
                  </pic:blipFill>
                  <pic:spPr bwMode="auto">
                    <a:xfrm>
                      <a:off x="0" y="0"/>
                      <a:ext cx="1920240" cy="2695528"/>
                    </a:xfrm>
                    <a:prstGeom prst="rect">
                      <a:avLst/>
                    </a:prstGeom>
                    <a:noFill/>
                    <a:ln w="9525">
                      <a:noFill/>
                      <a:miter lim="800000"/>
                      <a:headEnd/>
                      <a:tailEnd/>
                    </a:ln>
                  </pic:spPr>
                </pic:pic>
              </a:graphicData>
            </a:graphic>
          </wp:inline>
        </w:drawing>
      </w:r>
    </w:p>
    <w:p w:rsidR="00CB4192" w:rsidRDefault="00CB4192" w:rsidP="00CB4192">
      <w:pPr>
        <w:pStyle w:val="Caption"/>
        <w:jc w:val="left"/>
        <w:rPr>
          <w:b w:val="0"/>
          <w:i/>
          <w:sz w:val="16"/>
          <w:szCs w:val="16"/>
        </w:rPr>
      </w:pPr>
      <w:r w:rsidRPr="00834D84">
        <w:rPr>
          <w:b w:val="0"/>
          <w:i/>
          <w:sz w:val="16"/>
          <w:szCs w:val="16"/>
        </w:rPr>
        <w:t>Line drawing</w:t>
      </w:r>
      <w:r>
        <w:rPr>
          <w:b w:val="0"/>
          <w:i/>
          <w:sz w:val="16"/>
          <w:szCs w:val="16"/>
        </w:rPr>
        <w:t xml:space="preserve"> of fowl </w:t>
      </w:r>
      <w:proofErr w:type="spellStart"/>
      <w:r>
        <w:rPr>
          <w:b w:val="0"/>
          <w:i/>
          <w:sz w:val="16"/>
          <w:szCs w:val="16"/>
        </w:rPr>
        <w:t>mannagrass</w:t>
      </w:r>
      <w:proofErr w:type="spellEnd"/>
      <w:r w:rsidRPr="00834D84">
        <w:rPr>
          <w:b w:val="0"/>
          <w:i/>
          <w:sz w:val="16"/>
          <w:szCs w:val="16"/>
        </w:rPr>
        <w:t xml:space="preserve"> reprinted with permission, University of Washington Press.</w:t>
      </w:r>
    </w:p>
    <w:p w:rsidR="00CB4192" w:rsidRPr="00CB4192" w:rsidRDefault="00CB4192" w:rsidP="00CB4192">
      <w:pPr>
        <w:jc w:val="left"/>
        <w:rPr>
          <w:sz w:val="16"/>
          <w:szCs w:val="16"/>
        </w:rPr>
      </w:pPr>
    </w:p>
    <w:p w:rsidR="00CB4192" w:rsidRDefault="00CB4192" w:rsidP="00CB4192">
      <w:pPr>
        <w:tabs>
          <w:tab w:val="left" w:pos="2430"/>
        </w:tabs>
        <w:jc w:val="left"/>
        <w:rPr>
          <w:sz w:val="20"/>
        </w:rPr>
      </w:pPr>
      <w:r w:rsidRPr="00242080">
        <w:rPr>
          <w:i/>
          <w:sz w:val="20"/>
        </w:rPr>
        <w:t>Relative abundance in the wild:</w:t>
      </w:r>
      <w:r>
        <w:rPr>
          <w:sz w:val="20"/>
        </w:rPr>
        <w:t xml:space="preserve"> Seed ripens in July or August and retention within the flower head is fair to good.  Collections can be readily made along wet forest road ditches, but access can be difficult along streams or in denser, swampy brush where this species is commonly found.</w:t>
      </w:r>
    </w:p>
    <w:p w:rsidR="00CB4192" w:rsidRDefault="00CB4192" w:rsidP="00CB4192">
      <w:pPr>
        <w:tabs>
          <w:tab w:val="left" w:pos="2430"/>
        </w:tabs>
        <w:jc w:val="left"/>
        <w:rPr>
          <w:sz w:val="20"/>
        </w:rPr>
      </w:pPr>
      <w:r>
        <w:rPr>
          <w:sz w:val="20"/>
        </w:rPr>
        <w:t xml:space="preserve"> </w:t>
      </w:r>
    </w:p>
    <w:p w:rsidR="00CB4192" w:rsidRPr="00110A95" w:rsidRDefault="00CB4192" w:rsidP="00CB4192">
      <w:pPr>
        <w:tabs>
          <w:tab w:val="left" w:pos="2430"/>
        </w:tabs>
        <w:jc w:val="left"/>
        <w:rPr>
          <w:sz w:val="20"/>
        </w:rPr>
      </w:pPr>
      <w:r w:rsidRPr="00887B89">
        <w:rPr>
          <w:i/>
          <w:sz w:val="20"/>
        </w:rPr>
        <w:t>Adaptation:</w:t>
      </w:r>
      <w:r>
        <w:rPr>
          <w:b/>
          <w:sz w:val="20"/>
        </w:rPr>
        <w:t xml:space="preserve"> </w:t>
      </w:r>
      <w:r>
        <w:rPr>
          <w:sz w:val="20"/>
        </w:rPr>
        <w:t>Fowl</w:t>
      </w:r>
      <w:r w:rsidRPr="00EC53B2">
        <w:rPr>
          <w:sz w:val="20"/>
        </w:rPr>
        <w:t xml:space="preserve"> </w:t>
      </w:r>
      <w:proofErr w:type="spellStart"/>
      <w:r w:rsidRPr="00EC53B2">
        <w:rPr>
          <w:sz w:val="20"/>
        </w:rPr>
        <w:t>mannagrass</w:t>
      </w:r>
      <w:proofErr w:type="spellEnd"/>
      <w:r w:rsidRPr="00EC53B2">
        <w:rPr>
          <w:sz w:val="20"/>
        </w:rPr>
        <w:t xml:space="preserve"> occurs widely in</w:t>
      </w:r>
      <w:r>
        <w:rPr>
          <w:b/>
          <w:sz w:val="20"/>
        </w:rPr>
        <w:t xml:space="preserve"> </w:t>
      </w:r>
      <w:r w:rsidRPr="00746B92">
        <w:rPr>
          <w:sz w:val="20"/>
        </w:rPr>
        <w:t>bogs</w:t>
      </w:r>
      <w:r>
        <w:rPr>
          <w:b/>
          <w:sz w:val="20"/>
        </w:rPr>
        <w:t xml:space="preserve">, </w:t>
      </w:r>
      <w:r w:rsidRPr="00746B92">
        <w:rPr>
          <w:sz w:val="20"/>
        </w:rPr>
        <w:t>seeps, wet woods</w:t>
      </w:r>
      <w:r>
        <w:rPr>
          <w:sz w:val="20"/>
        </w:rPr>
        <w:t>, thickets or swampy areas, shaded ditches, and along or in streams.  It may occasionally be found growing in full sun on summer damp soils as well as in standing water.  Reportedly, this species is best adapted to freshwater, semi-aquatic habitats (</w:t>
      </w:r>
      <w:r w:rsidRPr="00696394">
        <w:rPr>
          <w:i/>
          <w:sz w:val="20"/>
        </w:rPr>
        <w:t xml:space="preserve">G. </w:t>
      </w:r>
      <w:proofErr w:type="spellStart"/>
      <w:r w:rsidRPr="00696394">
        <w:rPr>
          <w:i/>
          <w:sz w:val="20"/>
        </w:rPr>
        <w:t>elata</w:t>
      </w:r>
      <w:proofErr w:type="spellEnd"/>
      <w:r>
        <w:rPr>
          <w:sz w:val="20"/>
        </w:rPr>
        <w:t>) or those that are irregularly to seasonally flooded and saturated for up to 25% of the growing season (</w:t>
      </w:r>
      <w:r w:rsidRPr="00696394">
        <w:rPr>
          <w:i/>
          <w:sz w:val="20"/>
        </w:rPr>
        <w:t xml:space="preserve">G. </w:t>
      </w:r>
      <w:proofErr w:type="spellStart"/>
      <w:r w:rsidRPr="00696394">
        <w:rPr>
          <w:i/>
          <w:sz w:val="20"/>
        </w:rPr>
        <w:t>striata</w:t>
      </w:r>
      <w:proofErr w:type="spellEnd"/>
      <w:r>
        <w:rPr>
          <w:sz w:val="20"/>
        </w:rPr>
        <w:t>).  However, some plants have been observed to thrive and flower under continuous inundation (1-10 cm) for several years.  Fowl</w:t>
      </w:r>
      <w:r w:rsidRPr="00EC53B2">
        <w:rPr>
          <w:sz w:val="20"/>
        </w:rPr>
        <w:t xml:space="preserve"> </w:t>
      </w:r>
      <w:proofErr w:type="spellStart"/>
      <w:r w:rsidRPr="00EC53B2">
        <w:rPr>
          <w:sz w:val="20"/>
        </w:rPr>
        <w:t>mannagrass</w:t>
      </w:r>
      <w:proofErr w:type="spellEnd"/>
      <w:r w:rsidRPr="00EC53B2">
        <w:rPr>
          <w:sz w:val="20"/>
        </w:rPr>
        <w:t xml:space="preserve"> tolerates open areas but prefers shady habitats.</w:t>
      </w:r>
      <w:r>
        <w:rPr>
          <w:sz w:val="20"/>
        </w:rPr>
        <w:t xml:space="preserve">  It may occur as single plants, small colonies, or larger stands that dominate the understory of ash swales as well as willow, aspen, and other wetland forest or shrub communities.  Soils range from organic to mineral with a pH of 4 (acidic) to 8 (slightly alkaline).  This species does not tolerate salinity and needs moderately good fertility.  </w:t>
      </w:r>
      <w:r w:rsidRPr="00051909">
        <w:rPr>
          <w:sz w:val="20"/>
        </w:rPr>
        <w:t>T</w:t>
      </w:r>
      <w:r w:rsidRPr="00110A95">
        <w:rPr>
          <w:sz w:val="20"/>
        </w:rPr>
        <w:t xml:space="preserve">his species is </w:t>
      </w:r>
      <w:r>
        <w:rPr>
          <w:sz w:val="20"/>
        </w:rPr>
        <w:t xml:space="preserve">very </w:t>
      </w:r>
      <w:r w:rsidRPr="00110A95">
        <w:rPr>
          <w:sz w:val="20"/>
        </w:rPr>
        <w:t>shade tolerant</w:t>
      </w:r>
      <w:r>
        <w:rPr>
          <w:sz w:val="20"/>
        </w:rPr>
        <w:t>, similar to</w:t>
      </w:r>
      <w:r w:rsidRPr="00110A95">
        <w:rPr>
          <w:sz w:val="20"/>
        </w:rPr>
        <w:t xml:space="preserve"> </w:t>
      </w:r>
      <w:r>
        <w:rPr>
          <w:sz w:val="20"/>
        </w:rPr>
        <w:t xml:space="preserve">reed </w:t>
      </w:r>
      <w:proofErr w:type="spellStart"/>
      <w:r>
        <w:rPr>
          <w:sz w:val="20"/>
        </w:rPr>
        <w:t>mannagrass</w:t>
      </w:r>
      <w:proofErr w:type="spellEnd"/>
      <w:r>
        <w:rPr>
          <w:sz w:val="20"/>
        </w:rPr>
        <w:t xml:space="preserve">, yet it can be grown in full sun to produce substantial seed. </w:t>
      </w:r>
    </w:p>
    <w:p w:rsidR="00CB4192" w:rsidRPr="00551F3E" w:rsidRDefault="00CB4192" w:rsidP="00CB4192">
      <w:pPr>
        <w:tabs>
          <w:tab w:val="left" w:pos="2430"/>
        </w:tabs>
        <w:jc w:val="left"/>
        <w:rPr>
          <w:sz w:val="16"/>
          <w:szCs w:val="16"/>
        </w:rPr>
      </w:pPr>
    </w:p>
    <w:p w:rsidR="00CB4192" w:rsidRDefault="00CB4192" w:rsidP="00CB4192">
      <w:pPr>
        <w:pStyle w:val="Header3"/>
      </w:pPr>
      <w:r>
        <w:t>Establishment</w:t>
      </w:r>
    </w:p>
    <w:p w:rsidR="00CB4192" w:rsidRDefault="00CB4192" w:rsidP="00CB4192">
      <w:pPr>
        <w:tabs>
          <w:tab w:val="left" w:pos="2430"/>
        </w:tabs>
        <w:jc w:val="left"/>
        <w:rPr>
          <w:sz w:val="20"/>
        </w:rPr>
      </w:pPr>
      <w:r w:rsidRPr="001F184C">
        <w:rPr>
          <w:sz w:val="20"/>
        </w:rPr>
        <w:t>The presence of seed dormancy, if any, may vary among populations.  Seed</w:t>
      </w:r>
      <w:r>
        <w:rPr>
          <w:sz w:val="20"/>
        </w:rPr>
        <w:t>s</w:t>
      </w:r>
      <w:r w:rsidRPr="001F184C">
        <w:rPr>
          <w:sz w:val="20"/>
        </w:rPr>
        <w:t xml:space="preserve"> can</w:t>
      </w:r>
      <w:r>
        <w:rPr>
          <w:sz w:val="20"/>
        </w:rPr>
        <w:t xml:space="preserve"> germinate </w:t>
      </w:r>
      <w:r w:rsidRPr="00BF7BFA">
        <w:rPr>
          <w:sz w:val="20"/>
        </w:rPr>
        <w:t xml:space="preserve">within </w:t>
      </w:r>
      <w:r>
        <w:rPr>
          <w:sz w:val="20"/>
        </w:rPr>
        <w:t>two</w:t>
      </w:r>
      <w:r w:rsidRPr="00BF7BFA">
        <w:rPr>
          <w:sz w:val="20"/>
        </w:rPr>
        <w:t xml:space="preserve"> to </w:t>
      </w:r>
      <w:r>
        <w:rPr>
          <w:sz w:val="20"/>
        </w:rPr>
        <w:t>three</w:t>
      </w:r>
      <w:r w:rsidRPr="00BF7BFA">
        <w:rPr>
          <w:sz w:val="20"/>
        </w:rPr>
        <w:t xml:space="preserve"> weeks</w:t>
      </w:r>
      <w:r>
        <w:rPr>
          <w:sz w:val="20"/>
        </w:rPr>
        <w:t xml:space="preserve"> without treatment, but 14</w:t>
      </w:r>
      <w:r w:rsidRPr="00BF7BFA">
        <w:rPr>
          <w:sz w:val="20"/>
        </w:rPr>
        <w:t xml:space="preserve"> to 30 days of cold moist stratification (moist pre-chilling) </w:t>
      </w:r>
      <w:r>
        <w:rPr>
          <w:sz w:val="20"/>
        </w:rPr>
        <w:t>has resulted</w:t>
      </w:r>
      <w:r w:rsidRPr="00BF7BFA">
        <w:rPr>
          <w:sz w:val="20"/>
        </w:rPr>
        <w:t xml:space="preserve"> in faster</w:t>
      </w:r>
      <w:r>
        <w:rPr>
          <w:sz w:val="20"/>
        </w:rPr>
        <w:t xml:space="preserve"> </w:t>
      </w:r>
      <w:r w:rsidRPr="00BF7BFA">
        <w:rPr>
          <w:sz w:val="20"/>
        </w:rPr>
        <w:t>germina</w:t>
      </w:r>
      <w:r>
        <w:rPr>
          <w:sz w:val="20"/>
        </w:rPr>
        <w:t>tion,</w:t>
      </w:r>
      <w:r w:rsidRPr="00BF7BFA">
        <w:rPr>
          <w:sz w:val="20"/>
        </w:rPr>
        <w:t xml:space="preserve"> </w:t>
      </w:r>
      <w:r>
        <w:rPr>
          <w:sz w:val="20"/>
        </w:rPr>
        <w:t>although</w:t>
      </w:r>
      <w:r w:rsidRPr="00BF7BFA">
        <w:rPr>
          <w:sz w:val="20"/>
        </w:rPr>
        <w:t xml:space="preserve"> not necessarily higher rates.</w:t>
      </w:r>
      <w:r>
        <w:rPr>
          <w:sz w:val="20"/>
        </w:rPr>
        <w:t xml:space="preserve">  Others report the need for 150 days of stratification in cold water.  </w:t>
      </w:r>
    </w:p>
    <w:p w:rsidR="00CB4192" w:rsidRPr="00BF7BFA" w:rsidRDefault="00CB4192" w:rsidP="00CB4192">
      <w:pPr>
        <w:tabs>
          <w:tab w:val="left" w:pos="2430"/>
        </w:tabs>
        <w:jc w:val="left"/>
        <w:rPr>
          <w:sz w:val="20"/>
        </w:rPr>
      </w:pPr>
      <w:r>
        <w:rPr>
          <w:sz w:val="20"/>
        </w:rPr>
        <w:t xml:space="preserve">Fall sowing is preferred if dormancy is known or uncertain.  Seed hulls readily detach but removal is unnecessary.  There are approximately 1,600,000 seeds per pound with hulls intact.  A seeding rate of one pound pure live seed per acre will result </w:t>
      </w:r>
      <w:r>
        <w:rPr>
          <w:sz w:val="20"/>
        </w:rPr>
        <w:lastRenderedPageBreak/>
        <w:t>is about 37 live seeds per square foot.  Seeding rates depend on methods used, objectives, and site conditions.</w:t>
      </w:r>
    </w:p>
    <w:p w:rsidR="00CB4192" w:rsidRPr="00551F3E" w:rsidRDefault="00CB4192" w:rsidP="00CB4192">
      <w:pPr>
        <w:tabs>
          <w:tab w:val="left" w:pos="2430"/>
        </w:tabs>
        <w:jc w:val="left"/>
        <w:rPr>
          <w:sz w:val="16"/>
          <w:szCs w:val="16"/>
        </w:rPr>
      </w:pPr>
    </w:p>
    <w:p w:rsidR="00CB4192" w:rsidRDefault="00CB4192" w:rsidP="00CB4192">
      <w:pPr>
        <w:pStyle w:val="Header3"/>
        <w:rPr>
          <w:rFonts w:ascii="Arial" w:hAnsi="Arial"/>
        </w:rPr>
      </w:pPr>
      <w:r>
        <w:t>Management</w:t>
      </w:r>
    </w:p>
    <w:p w:rsidR="00CB4192" w:rsidRPr="00FA22F3" w:rsidRDefault="00CB4192" w:rsidP="00CB4192">
      <w:pPr>
        <w:jc w:val="left"/>
        <w:rPr>
          <w:sz w:val="20"/>
        </w:rPr>
      </w:pPr>
      <w:r>
        <w:rPr>
          <w:sz w:val="20"/>
        </w:rPr>
        <w:t xml:space="preserve">Sites where fowl </w:t>
      </w:r>
      <w:proofErr w:type="spellStart"/>
      <w:r>
        <w:rPr>
          <w:sz w:val="20"/>
        </w:rPr>
        <w:t>mannagrass</w:t>
      </w:r>
      <w:proofErr w:type="spellEnd"/>
      <w:r>
        <w:rPr>
          <w:sz w:val="20"/>
        </w:rPr>
        <w:t xml:space="preserve"> occurs are typically too wet for grazing when the herbage is most succulent. Therefore, access must be deferred until late in the season when soils are drier and quality has declined somewhat. Tolerance to fire and heavy grazing is not well documented.   Fowl </w:t>
      </w:r>
      <w:proofErr w:type="spellStart"/>
      <w:r>
        <w:rPr>
          <w:sz w:val="20"/>
        </w:rPr>
        <w:t>mannagrass</w:t>
      </w:r>
      <w:proofErr w:type="spellEnd"/>
      <w:r>
        <w:rPr>
          <w:sz w:val="20"/>
        </w:rPr>
        <w:t xml:space="preserve"> can be grown for seed on upland sites with medium to fine textured soils if regular irrigation is applied in summer and fall.</w:t>
      </w:r>
    </w:p>
    <w:p w:rsidR="00CB4192" w:rsidRDefault="00CB4192" w:rsidP="00CB4192">
      <w:pPr>
        <w:spacing w:before="240"/>
        <w:jc w:val="left"/>
        <w:outlineLvl w:val="2"/>
        <w:rPr>
          <w:b/>
          <w:sz w:val="20"/>
        </w:rPr>
      </w:pPr>
      <w:r w:rsidRPr="00FA22F3">
        <w:rPr>
          <w:b/>
          <w:sz w:val="20"/>
        </w:rPr>
        <w:t>Pests and Potential Problems</w:t>
      </w:r>
    </w:p>
    <w:p w:rsidR="00CB4192" w:rsidRDefault="00CB4192" w:rsidP="00CB4192">
      <w:pPr>
        <w:jc w:val="left"/>
        <w:outlineLvl w:val="2"/>
        <w:rPr>
          <w:sz w:val="20"/>
        </w:rPr>
      </w:pPr>
      <w:proofErr w:type="spellStart"/>
      <w:r w:rsidRPr="00FA70AE">
        <w:rPr>
          <w:i/>
          <w:sz w:val="20"/>
        </w:rPr>
        <w:t>G</w:t>
      </w:r>
      <w:r>
        <w:rPr>
          <w:i/>
          <w:sz w:val="20"/>
        </w:rPr>
        <w:t>lyceria</w:t>
      </w:r>
      <w:proofErr w:type="spellEnd"/>
      <w:r w:rsidRPr="00FA70AE">
        <w:rPr>
          <w:i/>
          <w:sz w:val="20"/>
        </w:rPr>
        <w:t xml:space="preserve"> </w:t>
      </w:r>
      <w:proofErr w:type="spellStart"/>
      <w:r w:rsidRPr="00FA70AE">
        <w:rPr>
          <w:i/>
          <w:sz w:val="20"/>
        </w:rPr>
        <w:t>striata</w:t>
      </w:r>
      <w:proofErr w:type="spellEnd"/>
      <w:r>
        <w:rPr>
          <w:sz w:val="20"/>
        </w:rPr>
        <w:t xml:space="preserve"> is susceptible to fungal pathogens such as </w:t>
      </w:r>
      <w:proofErr w:type="spellStart"/>
      <w:r w:rsidRPr="009B0261">
        <w:rPr>
          <w:i/>
          <w:sz w:val="20"/>
        </w:rPr>
        <w:t>Epichloe</w:t>
      </w:r>
      <w:proofErr w:type="spellEnd"/>
      <w:r w:rsidRPr="009B0261">
        <w:rPr>
          <w:i/>
          <w:sz w:val="20"/>
        </w:rPr>
        <w:t xml:space="preserve"> </w:t>
      </w:r>
      <w:proofErr w:type="spellStart"/>
      <w:r w:rsidRPr="009B0261">
        <w:rPr>
          <w:i/>
          <w:sz w:val="20"/>
        </w:rPr>
        <w:t>glyceriae</w:t>
      </w:r>
      <w:proofErr w:type="spellEnd"/>
      <w:r>
        <w:rPr>
          <w:i/>
          <w:sz w:val="20"/>
        </w:rPr>
        <w:t>,</w:t>
      </w:r>
      <w:r>
        <w:rPr>
          <w:sz w:val="20"/>
        </w:rPr>
        <w:t xml:space="preserve"> which causes floral castration, and </w:t>
      </w:r>
      <w:proofErr w:type="spellStart"/>
      <w:r w:rsidRPr="009B0261">
        <w:rPr>
          <w:i/>
          <w:sz w:val="20"/>
        </w:rPr>
        <w:t>Ustilago</w:t>
      </w:r>
      <w:proofErr w:type="spellEnd"/>
      <w:r w:rsidRPr="009B0261">
        <w:rPr>
          <w:i/>
          <w:sz w:val="20"/>
        </w:rPr>
        <w:t xml:space="preserve"> </w:t>
      </w:r>
      <w:proofErr w:type="spellStart"/>
      <w:r w:rsidRPr="009B0261">
        <w:rPr>
          <w:i/>
          <w:sz w:val="20"/>
        </w:rPr>
        <w:t>striiformis</w:t>
      </w:r>
      <w:proofErr w:type="spellEnd"/>
      <w:r>
        <w:rPr>
          <w:sz w:val="20"/>
        </w:rPr>
        <w:t xml:space="preserve">, better known as stripe smut.  Fungicides may be needed for control.  Consult with your local Extension Service agent, plant disease control handbook, or other experts for advice.  </w:t>
      </w:r>
    </w:p>
    <w:p w:rsidR="00CB4192" w:rsidRPr="00FA22F3" w:rsidRDefault="00CB4192" w:rsidP="00CB4192">
      <w:pPr>
        <w:jc w:val="left"/>
        <w:outlineLvl w:val="2"/>
        <w:rPr>
          <w:b/>
          <w:i/>
          <w:iCs/>
          <w:sz w:val="20"/>
        </w:rPr>
      </w:pPr>
    </w:p>
    <w:p w:rsidR="00CB4192" w:rsidRDefault="00CB4192" w:rsidP="00CB4192">
      <w:pPr>
        <w:pStyle w:val="Header3"/>
      </w:pPr>
      <w:r>
        <w:t>Environmental Concerns</w:t>
      </w:r>
    </w:p>
    <w:p w:rsidR="00CB4192" w:rsidRDefault="00CB4192" w:rsidP="00CB4192">
      <w:pPr>
        <w:tabs>
          <w:tab w:val="left" w:pos="2430"/>
        </w:tabs>
        <w:jc w:val="left"/>
        <w:rPr>
          <w:sz w:val="20"/>
        </w:rPr>
      </w:pPr>
      <w:r w:rsidRPr="00A258C2">
        <w:rPr>
          <w:sz w:val="20"/>
        </w:rPr>
        <w:t>Some strains or populations</w:t>
      </w:r>
      <w:r>
        <w:rPr>
          <w:sz w:val="20"/>
        </w:rPr>
        <w:t xml:space="preserve"> of </w:t>
      </w:r>
      <w:r w:rsidRPr="00277ACB">
        <w:rPr>
          <w:i/>
          <w:sz w:val="20"/>
        </w:rPr>
        <w:t>G</w:t>
      </w:r>
      <w:r>
        <w:rPr>
          <w:i/>
          <w:sz w:val="20"/>
        </w:rPr>
        <w:t>.</w:t>
      </w:r>
      <w:r w:rsidRPr="00277ACB">
        <w:rPr>
          <w:i/>
          <w:sz w:val="20"/>
        </w:rPr>
        <w:t xml:space="preserve"> </w:t>
      </w:r>
      <w:proofErr w:type="spellStart"/>
      <w:r w:rsidRPr="00277ACB">
        <w:rPr>
          <w:i/>
          <w:sz w:val="20"/>
        </w:rPr>
        <w:t>striata</w:t>
      </w:r>
      <w:proofErr w:type="spellEnd"/>
      <w:r w:rsidRPr="00A258C2">
        <w:rPr>
          <w:sz w:val="20"/>
        </w:rPr>
        <w:t xml:space="preserve"> </w:t>
      </w:r>
      <w:r>
        <w:rPr>
          <w:sz w:val="20"/>
        </w:rPr>
        <w:t>may</w:t>
      </w:r>
      <w:r w:rsidRPr="00A258C2">
        <w:rPr>
          <w:sz w:val="20"/>
        </w:rPr>
        <w:t xml:space="preserve"> contain </w:t>
      </w:r>
      <w:proofErr w:type="spellStart"/>
      <w:r w:rsidRPr="00A258C2">
        <w:rPr>
          <w:sz w:val="20"/>
        </w:rPr>
        <w:t>cynogenetic</w:t>
      </w:r>
      <w:proofErr w:type="spellEnd"/>
      <w:r w:rsidRPr="00A258C2">
        <w:rPr>
          <w:sz w:val="20"/>
        </w:rPr>
        <w:t xml:space="preserve"> compounds</w:t>
      </w:r>
      <w:r>
        <w:rPr>
          <w:sz w:val="20"/>
        </w:rPr>
        <w:t>.  Cyanide poisoning</w:t>
      </w:r>
      <w:r w:rsidRPr="00FA22F3">
        <w:rPr>
          <w:sz w:val="20"/>
        </w:rPr>
        <w:t xml:space="preserve"> </w:t>
      </w:r>
      <w:r>
        <w:rPr>
          <w:sz w:val="20"/>
        </w:rPr>
        <w:t xml:space="preserve">has been reported in cattle from both fowl and </w:t>
      </w:r>
      <w:r w:rsidRPr="006E14A7">
        <w:rPr>
          <w:sz w:val="20"/>
        </w:rPr>
        <w:t xml:space="preserve">reed </w:t>
      </w:r>
      <w:proofErr w:type="spellStart"/>
      <w:r w:rsidRPr="006E14A7">
        <w:rPr>
          <w:sz w:val="20"/>
        </w:rPr>
        <w:t>mannagrass</w:t>
      </w:r>
      <w:proofErr w:type="spellEnd"/>
      <w:r>
        <w:rPr>
          <w:sz w:val="20"/>
        </w:rPr>
        <w:t xml:space="preserve">, so caution is advised for livestock utilization. Other species of </w:t>
      </w:r>
      <w:proofErr w:type="spellStart"/>
      <w:r>
        <w:rPr>
          <w:sz w:val="20"/>
        </w:rPr>
        <w:t>mannagrass</w:t>
      </w:r>
      <w:proofErr w:type="spellEnd"/>
      <w:r>
        <w:rPr>
          <w:sz w:val="20"/>
        </w:rPr>
        <w:t xml:space="preserve"> are described as weedy in certain crops or wet areas, but concerns for fowl </w:t>
      </w:r>
      <w:proofErr w:type="spellStart"/>
      <w:r>
        <w:rPr>
          <w:sz w:val="20"/>
        </w:rPr>
        <w:t>mannagrass</w:t>
      </w:r>
      <w:proofErr w:type="spellEnd"/>
      <w:r>
        <w:rPr>
          <w:sz w:val="20"/>
        </w:rPr>
        <w:t xml:space="preserve"> are not widely known.</w:t>
      </w:r>
    </w:p>
    <w:p w:rsidR="00CB4192" w:rsidRPr="00551F3E" w:rsidRDefault="00CB4192" w:rsidP="00CB4192">
      <w:pPr>
        <w:tabs>
          <w:tab w:val="left" w:pos="2430"/>
        </w:tabs>
        <w:jc w:val="both"/>
        <w:rPr>
          <w:sz w:val="16"/>
          <w:szCs w:val="16"/>
        </w:rPr>
      </w:pPr>
    </w:p>
    <w:p w:rsidR="00CB4192" w:rsidRDefault="00CB4192" w:rsidP="00CB4192">
      <w:pPr>
        <w:pStyle w:val="Header3"/>
      </w:pPr>
      <w:r>
        <w:t>Cultivars, Improved, and Selected Materials (and area of origin)</w:t>
      </w:r>
    </w:p>
    <w:p w:rsidR="00CB4192" w:rsidRDefault="00CB4192" w:rsidP="00CB4192">
      <w:pPr>
        <w:tabs>
          <w:tab w:val="left" w:pos="2430"/>
        </w:tabs>
        <w:jc w:val="left"/>
        <w:rPr>
          <w:sz w:val="20"/>
        </w:rPr>
      </w:pPr>
      <w:r w:rsidRPr="00EC53B2">
        <w:rPr>
          <w:sz w:val="20"/>
        </w:rPr>
        <w:t>Seed sources and plants are regularly available throughout much of the United States.</w:t>
      </w:r>
    </w:p>
    <w:p w:rsidR="00CB4192" w:rsidRPr="00551F3E" w:rsidRDefault="00CB4192" w:rsidP="00CB4192">
      <w:pPr>
        <w:tabs>
          <w:tab w:val="left" w:pos="2430"/>
        </w:tabs>
        <w:jc w:val="left"/>
        <w:rPr>
          <w:sz w:val="16"/>
          <w:szCs w:val="16"/>
        </w:rPr>
      </w:pPr>
    </w:p>
    <w:p w:rsidR="00CB4192" w:rsidRDefault="00CB4192" w:rsidP="00CB4192">
      <w:pPr>
        <w:pStyle w:val="Header3"/>
      </w:pPr>
      <w:r>
        <w:t xml:space="preserve">Prepared By: </w:t>
      </w:r>
    </w:p>
    <w:p w:rsidR="00CB4192" w:rsidRDefault="00CB4192" w:rsidP="00CB4192">
      <w:pPr>
        <w:jc w:val="left"/>
        <w:rPr>
          <w:sz w:val="20"/>
        </w:rPr>
      </w:pPr>
      <w:r w:rsidRPr="00122A45">
        <w:rPr>
          <w:i/>
          <w:sz w:val="20"/>
        </w:rPr>
        <w:t>Dale Darris</w:t>
      </w:r>
      <w:r>
        <w:rPr>
          <w:sz w:val="20"/>
        </w:rPr>
        <w:t>, USDA NRCS Plant Materials Center, Corvallis, Oregon</w:t>
      </w:r>
      <w:r w:rsidR="008665E3">
        <w:rPr>
          <w:sz w:val="20"/>
        </w:rPr>
        <w:t xml:space="preserve">  </w:t>
      </w:r>
    </w:p>
    <w:p w:rsidR="00CB4192" w:rsidRPr="008D68A3" w:rsidRDefault="00CB4192" w:rsidP="00CB4192">
      <w:pPr>
        <w:spacing w:before="120"/>
        <w:jc w:val="left"/>
        <w:outlineLvl w:val="2"/>
        <w:rPr>
          <w:b/>
          <w:sz w:val="20"/>
        </w:rPr>
      </w:pPr>
      <w:r w:rsidRPr="008D68A3">
        <w:rPr>
          <w:b/>
          <w:sz w:val="20"/>
        </w:rPr>
        <w:t>Citation</w:t>
      </w:r>
    </w:p>
    <w:p w:rsidR="00CB4192" w:rsidRPr="008D68A3" w:rsidRDefault="00CB4192" w:rsidP="00CB4192">
      <w:pPr>
        <w:tabs>
          <w:tab w:val="left" w:pos="2430"/>
        </w:tabs>
        <w:jc w:val="left"/>
        <w:rPr>
          <w:b/>
          <w:sz w:val="20"/>
        </w:rPr>
      </w:pPr>
      <w:bookmarkStart w:id="0" w:name="OLE_LINK3"/>
      <w:bookmarkStart w:id="1" w:name="OLE_LINK4"/>
      <w:r>
        <w:rPr>
          <w:sz w:val="20"/>
        </w:rPr>
        <w:t>Darris, D</w:t>
      </w:r>
      <w:r w:rsidRPr="008D68A3">
        <w:rPr>
          <w:sz w:val="20"/>
        </w:rPr>
        <w:t xml:space="preserve">. </w:t>
      </w:r>
      <w:r>
        <w:rPr>
          <w:sz w:val="20"/>
        </w:rPr>
        <w:t>2005</w:t>
      </w:r>
      <w:r w:rsidRPr="008D68A3">
        <w:rPr>
          <w:sz w:val="20"/>
        </w:rPr>
        <w:t xml:space="preserve">. Plant fact sheet for </w:t>
      </w:r>
      <w:r>
        <w:rPr>
          <w:sz w:val="20"/>
        </w:rPr>
        <w:t xml:space="preserve">fowl </w:t>
      </w:r>
      <w:proofErr w:type="spellStart"/>
      <w:r>
        <w:rPr>
          <w:sz w:val="20"/>
        </w:rPr>
        <w:t>mannagrass</w:t>
      </w:r>
      <w:proofErr w:type="spellEnd"/>
      <w:r w:rsidRPr="008D68A3">
        <w:rPr>
          <w:sz w:val="20"/>
        </w:rPr>
        <w:t xml:space="preserve"> (</w:t>
      </w:r>
      <w:proofErr w:type="spellStart"/>
      <w:r>
        <w:rPr>
          <w:i/>
          <w:sz w:val="20"/>
        </w:rPr>
        <w:t>Glyceria</w:t>
      </w:r>
      <w:proofErr w:type="spellEnd"/>
      <w:r>
        <w:rPr>
          <w:i/>
          <w:sz w:val="20"/>
        </w:rPr>
        <w:t xml:space="preserve"> </w:t>
      </w:r>
      <w:proofErr w:type="spellStart"/>
      <w:r>
        <w:rPr>
          <w:i/>
          <w:sz w:val="20"/>
        </w:rPr>
        <w:t>striata</w:t>
      </w:r>
      <w:proofErr w:type="spellEnd"/>
      <w:r w:rsidRPr="008D68A3">
        <w:rPr>
          <w:i/>
          <w:sz w:val="20"/>
        </w:rPr>
        <w:t>)</w:t>
      </w:r>
      <w:r w:rsidRPr="008D68A3">
        <w:rPr>
          <w:sz w:val="20"/>
        </w:rPr>
        <w:t xml:space="preserve">. </w:t>
      </w:r>
      <w:proofErr w:type="gramStart"/>
      <w:r w:rsidRPr="008D68A3">
        <w:rPr>
          <w:sz w:val="20"/>
        </w:rPr>
        <w:t xml:space="preserve">USDA-Natural Resources Conservation Service, </w:t>
      </w:r>
      <w:r>
        <w:rPr>
          <w:sz w:val="20"/>
        </w:rPr>
        <w:t>Plant Materials Center, Corvallis, OR</w:t>
      </w:r>
      <w:r w:rsidRPr="008D68A3">
        <w:rPr>
          <w:sz w:val="20"/>
        </w:rPr>
        <w:t>.</w:t>
      </w:r>
      <w:proofErr w:type="gramEnd"/>
    </w:p>
    <w:bookmarkEnd w:id="0"/>
    <w:bookmarkEnd w:id="1"/>
    <w:p w:rsidR="00CB4192" w:rsidRPr="008D68A3" w:rsidRDefault="00CB4192" w:rsidP="00CB4192">
      <w:pPr>
        <w:tabs>
          <w:tab w:val="left" w:pos="2430"/>
        </w:tabs>
        <w:spacing w:before="120"/>
        <w:jc w:val="left"/>
        <w:rPr>
          <w:i/>
          <w:sz w:val="20"/>
        </w:rPr>
      </w:pPr>
      <w:r w:rsidRPr="008D68A3">
        <w:rPr>
          <w:sz w:val="20"/>
        </w:rPr>
        <w:t>Published January 2005</w:t>
      </w:r>
    </w:p>
    <w:p w:rsidR="00CB4192" w:rsidRPr="00012316" w:rsidRDefault="00CB4192" w:rsidP="00CB4192">
      <w:pPr>
        <w:tabs>
          <w:tab w:val="left" w:pos="2430"/>
        </w:tabs>
        <w:spacing w:before="120"/>
        <w:jc w:val="left"/>
        <w:rPr>
          <w:sz w:val="16"/>
          <w:szCs w:val="16"/>
        </w:rPr>
      </w:pPr>
      <w:r w:rsidRPr="00012316">
        <w:rPr>
          <w:sz w:val="16"/>
          <w:szCs w:val="16"/>
        </w:rPr>
        <w:t xml:space="preserve">Edited: 21Mar2006 </w:t>
      </w:r>
      <w:proofErr w:type="spellStart"/>
      <w:r w:rsidRPr="00012316">
        <w:rPr>
          <w:sz w:val="16"/>
          <w:szCs w:val="16"/>
        </w:rPr>
        <w:t>jsp</w:t>
      </w:r>
      <w:proofErr w:type="spellEnd"/>
      <w:r w:rsidRPr="00012316">
        <w:rPr>
          <w:sz w:val="16"/>
          <w:szCs w:val="16"/>
        </w:rPr>
        <w:t xml:space="preserve">, 17Sep2008 </w:t>
      </w:r>
      <w:proofErr w:type="spellStart"/>
      <w:r w:rsidRPr="00012316">
        <w:rPr>
          <w:sz w:val="16"/>
          <w:szCs w:val="16"/>
        </w:rPr>
        <w:t>dcd</w:t>
      </w:r>
      <w:proofErr w:type="spellEnd"/>
      <w:r w:rsidRPr="00012316">
        <w:rPr>
          <w:sz w:val="16"/>
          <w:szCs w:val="16"/>
        </w:rPr>
        <w:t xml:space="preserve">; 19Sep2008 </w:t>
      </w:r>
      <w:proofErr w:type="spellStart"/>
      <w:r w:rsidRPr="00012316">
        <w:rPr>
          <w:sz w:val="16"/>
          <w:szCs w:val="16"/>
        </w:rPr>
        <w:t>jsp</w:t>
      </w:r>
      <w:proofErr w:type="spellEnd"/>
      <w:r w:rsidRPr="00012316">
        <w:rPr>
          <w:sz w:val="16"/>
          <w:szCs w:val="16"/>
        </w:rPr>
        <w:t xml:space="preserve">; 17Feb2012 </w:t>
      </w:r>
      <w:proofErr w:type="spellStart"/>
      <w:r w:rsidRPr="00012316">
        <w:rPr>
          <w:sz w:val="16"/>
          <w:szCs w:val="16"/>
        </w:rPr>
        <w:t>aym</w:t>
      </w:r>
      <w:proofErr w:type="spellEnd"/>
    </w:p>
    <w:p w:rsidR="006C47E2"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CB4192" w:rsidRDefault="00CB4192" w:rsidP="00776CDA">
      <w:pPr>
        <w:pStyle w:val="NRCSBodyText"/>
        <w:spacing w:before="240"/>
      </w:pPr>
    </w:p>
    <w:p w:rsidR="00CB4192" w:rsidRPr="00810C71" w:rsidRDefault="00CB4192" w:rsidP="00776CDA">
      <w:pPr>
        <w:pStyle w:val="NRCSBodyText"/>
        <w:spacing w:before="240"/>
      </w:pPr>
    </w:p>
    <w:p w:rsidR="00117649" w:rsidRDefault="00117649" w:rsidP="009B7D57">
      <w:pPr>
        <w:spacing w:before="240"/>
        <w:jc w:val="left"/>
        <w:rPr>
          <w:sz w:val="20"/>
        </w:rPr>
        <w:sectPr w:rsidR="00117649" w:rsidSect="00CB4192">
          <w:headerReference w:type="default" r:id="rId15"/>
          <w:footerReference w:type="default" r:id="rId16"/>
          <w:type w:val="continuous"/>
          <w:pgSz w:w="12240" w:h="15840" w:code="1"/>
          <w:pgMar w:top="720" w:right="720" w:bottom="720" w:left="72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2B51" w:rsidRDefault="00CD2B51">
      <w:r>
        <w:separator/>
      </w:r>
    </w:p>
  </w:endnote>
  <w:endnote w:type="continuationSeparator" w:id="0">
    <w:p w:rsidR="00CD2B51" w:rsidRDefault="00CD2B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2B51" w:rsidRDefault="00CD2B51">
      <w:r>
        <w:separator/>
      </w:r>
    </w:p>
  </w:footnote>
  <w:footnote w:type="continuationSeparator" w:id="0">
    <w:p w:rsidR="00CD2B51" w:rsidRDefault="00CD2B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51201">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097018"/>
    <w:rsid w:val="0000182C"/>
    <w:rsid w:val="00005184"/>
    <w:rsid w:val="00012316"/>
    <w:rsid w:val="000175D4"/>
    <w:rsid w:val="000178ED"/>
    <w:rsid w:val="00044DD1"/>
    <w:rsid w:val="0004577C"/>
    <w:rsid w:val="00056463"/>
    <w:rsid w:val="000578C2"/>
    <w:rsid w:val="00070BC9"/>
    <w:rsid w:val="00073BC2"/>
    <w:rsid w:val="00086114"/>
    <w:rsid w:val="000960D7"/>
    <w:rsid w:val="000968E2"/>
    <w:rsid w:val="00097018"/>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32017"/>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D7F2F"/>
    <w:rsid w:val="003E064E"/>
    <w:rsid w:val="003E6391"/>
    <w:rsid w:val="003F1973"/>
    <w:rsid w:val="0040053B"/>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269BA"/>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411E"/>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665E3"/>
    <w:rsid w:val="00880D71"/>
    <w:rsid w:val="00885E30"/>
    <w:rsid w:val="008A2C3F"/>
    <w:rsid w:val="008B118A"/>
    <w:rsid w:val="008D0CCE"/>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2B50"/>
    <w:rsid w:val="00AB363D"/>
    <w:rsid w:val="00AD5BD0"/>
    <w:rsid w:val="00B00F6C"/>
    <w:rsid w:val="00B0669A"/>
    <w:rsid w:val="00B07BD5"/>
    <w:rsid w:val="00B35C3E"/>
    <w:rsid w:val="00B55E68"/>
    <w:rsid w:val="00B67FFC"/>
    <w:rsid w:val="00B730E7"/>
    <w:rsid w:val="00B83D2B"/>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192"/>
    <w:rsid w:val="00CB4C7E"/>
    <w:rsid w:val="00CC1918"/>
    <w:rsid w:val="00CC4E6D"/>
    <w:rsid w:val="00CD2B51"/>
    <w:rsid w:val="00CD49CC"/>
    <w:rsid w:val="00CD5C3F"/>
    <w:rsid w:val="00CE5409"/>
    <w:rsid w:val="00CF7EC1"/>
    <w:rsid w:val="00CF7F90"/>
    <w:rsid w:val="00D20E52"/>
    <w:rsid w:val="00D25CEA"/>
    <w:rsid w:val="00D334AA"/>
    <w:rsid w:val="00D36CA3"/>
    <w:rsid w:val="00D57FE6"/>
    <w:rsid w:val="00D61972"/>
    <w:rsid w:val="00D62818"/>
    <w:rsid w:val="00D669F9"/>
    <w:rsid w:val="00D82E30"/>
    <w:rsid w:val="00DC616D"/>
    <w:rsid w:val="00DC7C36"/>
    <w:rsid w:val="00DD46A9"/>
    <w:rsid w:val="00DE0E57"/>
    <w:rsid w:val="00E30EC6"/>
    <w:rsid w:val="00E502E5"/>
    <w:rsid w:val="00E505BD"/>
    <w:rsid w:val="00E52D6E"/>
    <w:rsid w:val="00E80488"/>
    <w:rsid w:val="00EA5D73"/>
    <w:rsid w:val="00EC257E"/>
    <w:rsid w:val="00EE261A"/>
    <w:rsid w:val="00EE296B"/>
    <w:rsid w:val="00EE4520"/>
    <w:rsid w:val="00EE464C"/>
    <w:rsid w:val="00EF7390"/>
    <w:rsid w:val="00F0149C"/>
    <w:rsid w:val="00F202B5"/>
    <w:rsid w:val="00F3785A"/>
    <w:rsid w:val="00F71BD0"/>
    <w:rsid w:val="00F71F08"/>
    <w:rsid w:val="00F74365"/>
    <w:rsid w:val="00F802DB"/>
    <w:rsid w:val="00F82DDC"/>
    <w:rsid w:val="00F908A7"/>
    <w:rsid w:val="00F913EA"/>
    <w:rsid w:val="00FB334D"/>
    <w:rsid w:val="00FC5241"/>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CB4192"/>
    <w:pPr>
      <w:tabs>
        <w:tab w:val="left" w:pos="2430"/>
      </w:tabs>
      <w:jc w:val="left"/>
    </w:pPr>
    <w:rPr>
      <w:color w:val="auto"/>
      <w:sz w:val="20"/>
    </w:rPr>
  </w:style>
  <w:style w:type="character" w:customStyle="1" w:styleId="BodytextChar0">
    <w:name w:val="Body text Char"/>
    <w:basedOn w:val="BodyTextChar"/>
    <w:link w:val="Bodytext0"/>
    <w:rsid w:val="00CB4192"/>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My%20Documents\PG-FS\PG-FS%20Rework\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fs_template_dec_2011.dotx</Template>
  <TotalTime>3</TotalTime>
  <Pages>2</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7205</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fowl mannagrass (Glyceria striata)</dc:title>
  <dc:subject>Fowl mannagrass (Glyceria striata) is a native, perennial, cool season bunchgrass used for restoration of wetlands, swamps and other wet areas, as well as forage and wildlife food and habitat. </dc:subject>
  <dc:creator>Dale Darris, USDA NRCS Plant Materials Center, Corvallis, Oregon</dc:creator>
  <cp:keywords>Plant Fact Sheet, fowl mannagrass, tall mannagrass, Glyceria striata, Glyceria elata, Glyceria nervata, Panicularia nervata, Panicularia striata, native, perennial, bunchgrass, rhizomatous, cool season, restoration, wetland, marsh, swamp, pond, stream, ditch, forage, wildlife food, habitat, sheep, ornamental</cp:keywords>
  <cp:lastModifiedBy>anna.young-mathews</cp:lastModifiedBy>
  <cp:revision>5</cp:revision>
  <cp:lastPrinted>2003-06-09T19:39:00Z</cp:lastPrinted>
  <dcterms:created xsi:type="dcterms:W3CDTF">2012-02-27T12:03:00Z</dcterms:created>
  <dcterms:modified xsi:type="dcterms:W3CDTF">2012-02-27T18:05:00Z</dcterms:modified>
</cp:coreProperties>
</file>