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985" w:rsidRPr="00BE0AAA" w:rsidRDefault="004B628B" w:rsidP="00821277">
      <w:pPr>
        <w:pStyle w:val="Title"/>
        <w:spacing w:before="120" w:after="240"/>
        <w:jc w:val="right"/>
        <w:sectPr w:rsidR="00564985" w:rsidRPr="00BE0AAA" w:rsidSect="0062577D">
          <w:headerReference w:type="even" r:id="rId8"/>
          <w:headerReference w:type="default" r:id="rId9"/>
          <w:footerReference w:type="even" r:id="rId10"/>
          <w:footerReference w:type="default" r:id="rId11"/>
          <w:headerReference w:type="first" r:id="rId12"/>
          <w:footerReference w:type="first" r:id="rId13"/>
          <w:pgSz w:w="12240" w:h="15840" w:code="1"/>
          <w:pgMar w:top="1080" w:right="1080" w:bottom="1080" w:left="1080" w:header="720" w:footer="720" w:gutter="0"/>
          <w:cols w:space="720"/>
          <w:titlePg/>
          <w:docGrid w:linePitch="326"/>
        </w:sect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14" cstate="print"/>
                    <a:srcRect/>
                    <a:stretch>
                      <a:fillRect/>
                    </a:stretch>
                  </pic:blipFill>
                  <pic:spPr bwMode="auto">
                    <a:xfrm>
                      <a:off x="0" y="0"/>
                      <a:ext cx="1533525" cy="571500"/>
                    </a:xfrm>
                    <a:prstGeom prst="rect">
                      <a:avLst/>
                    </a:prstGeom>
                    <a:noFill/>
                  </pic:spPr>
                </pic:pic>
              </a:graphicData>
            </a:graphic>
          </wp:anchor>
        </w:drawing>
      </w:r>
      <w:r w:rsidR="00564985" w:rsidRPr="00BE0AAA">
        <w:t>Plant Fact Sheet</w:t>
      </w:r>
    </w:p>
    <w:p w:rsidR="00CE5409" w:rsidRPr="007B2285" w:rsidRDefault="00F325AE" w:rsidP="00564985">
      <w:pPr>
        <w:pStyle w:val="Heading1"/>
        <w:rPr>
          <w:i w:val="0"/>
        </w:rPr>
      </w:pPr>
      <w:r>
        <w:rPr>
          <w:i w:val="0"/>
        </w:rPr>
        <w:lastRenderedPageBreak/>
        <w:t>SWITCHGRASS</w:t>
      </w:r>
    </w:p>
    <w:p w:rsidR="00CE5409" w:rsidRPr="00561A8A" w:rsidRDefault="00F325AE" w:rsidP="00561A8A">
      <w:pPr>
        <w:pStyle w:val="Heading2"/>
      </w:pPr>
      <w:r>
        <w:t>Panicum virgatum L.</w:t>
      </w:r>
    </w:p>
    <w:p w:rsidR="00CE5409" w:rsidRPr="00561A8A" w:rsidRDefault="00CE5409" w:rsidP="00A91834">
      <w:pPr>
        <w:pStyle w:val="PlantSymbol"/>
      </w:pPr>
      <w:r w:rsidRPr="00561A8A">
        <w:t xml:space="preserve">Plant Symbol = </w:t>
      </w:r>
      <w:r w:rsidR="00F325AE">
        <w:t>PAVI2</w:t>
      </w:r>
    </w:p>
    <w:p w:rsidR="00F7448A" w:rsidRDefault="008455BA">
      <w:pPr>
        <w:pStyle w:val="BodytextNRCS"/>
        <w:spacing w:before="240"/>
        <w:ind w:left="1350" w:hanging="1350"/>
      </w:pPr>
      <w:r w:rsidRPr="00561A8A">
        <w:t xml:space="preserve">Contributed by: </w:t>
      </w:r>
      <w:r w:rsidR="00A1146D">
        <w:t xml:space="preserve">USDA NRCS </w:t>
      </w:r>
      <w:r w:rsidR="00944B46">
        <w:t>Jimmy Carter Plant Materials Center</w:t>
      </w:r>
    </w:p>
    <w:p w:rsidR="00F7448A" w:rsidRDefault="00120E78" w:rsidP="00210BAB">
      <w:pPr>
        <w:pStyle w:val="NRCSBodyText"/>
        <w:keepNext/>
        <w:spacing w:before="240"/>
      </w:pPr>
      <w:r>
        <w:rPr>
          <w:i/>
          <w:noProof/>
          <w:sz w:val="16"/>
          <w:szCs w:val="16"/>
        </w:rPr>
        <w:drawing>
          <wp:inline distT="0" distB="0" distL="0" distR="0">
            <wp:extent cx="2947101" cy="2261401"/>
            <wp:effectExtent l="19050" t="19050" r="24699" b="24599"/>
            <wp:docPr id="2" name="Picture 1" descr="Picture of  Switchgrass (Panicum virgatum) Cl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grass group.JPG"/>
                    <pic:cNvPicPr/>
                  </pic:nvPicPr>
                  <pic:blipFill>
                    <a:blip r:embed="rId15" cstate="print">
                      <a:lum bright="10000" contrast="10000"/>
                    </a:blip>
                    <a:srcRect/>
                    <a:stretch>
                      <a:fillRect/>
                    </a:stretch>
                  </pic:blipFill>
                  <pic:spPr>
                    <a:xfrm>
                      <a:off x="0" y="0"/>
                      <a:ext cx="2945678" cy="2260309"/>
                    </a:xfrm>
                    <a:prstGeom prst="rect">
                      <a:avLst/>
                    </a:prstGeom>
                    <a:ln w="19050">
                      <a:solidFill>
                        <a:schemeClr val="tx2">
                          <a:lumMod val="60000"/>
                          <a:lumOff val="40000"/>
                        </a:schemeClr>
                      </a:solidFill>
                    </a:ln>
                  </pic:spPr>
                </pic:pic>
              </a:graphicData>
            </a:graphic>
          </wp:inline>
        </w:drawing>
      </w:r>
    </w:p>
    <w:p w:rsidR="00F7448A" w:rsidRDefault="00944B46" w:rsidP="00210BAB">
      <w:pPr>
        <w:pStyle w:val="CaptionNRCS"/>
      </w:pPr>
      <w:r>
        <w:t>Mike Owsley</w:t>
      </w:r>
    </w:p>
    <w:p w:rsidR="00F7448A" w:rsidRDefault="00944B46" w:rsidP="00210BAB">
      <w:pPr>
        <w:pStyle w:val="CaptionNRCS"/>
      </w:pPr>
      <w:r>
        <w:t>USDA Natural Resources Conservation Service</w:t>
      </w:r>
    </w:p>
    <w:p w:rsidR="00F7448A" w:rsidRDefault="00944B46" w:rsidP="00210BAB">
      <w:pPr>
        <w:pStyle w:val="CaptionNRCS"/>
      </w:pPr>
      <w:r>
        <w:t>Jimmy Carter Plant Materials Center</w:t>
      </w:r>
    </w:p>
    <w:p w:rsidR="00CD49CC" w:rsidRPr="00561A8A" w:rsidRDefault="008455BA" w:rsidP="007E50CD">
      <w:pPr>
        <w:pStyle w:val="Heading3"/>
        <w:spacing w:before="240" w:after="40"/>
        <w:rPr>
          <w:b w:val="0"/>
          <w:i/>
        </w:rPr>
      </w:pPr>
      <w:r w:rsidRPr="00561A8A">
        <w:t>Alternate Names</w:t>
      </w:r>
    </w:p>
    <w:p w:rsidR="00CD49CC" w:rsidRPr="007E50CD" w:rsidRDefault="00F75529" w:rsidP="003E6391">
      <w:pPr>
        <w:pStyle w:val="NRCSBodyText"/>
      </w:pPr>
      <w:r w:rsidRPr="007E50CD">
        <w:t xml:space="preserve">Panic </w:t>
      </w:r>
      <w:r w:rsidR="007E50CD" w:rsidRPr="007E50CD">
        <w:t>r</w:t>
      </w:r>
      <w:r w:rsidRPr="007E50CD">
        <w:t>aide</w:t>
      </w:r>
    </w:p>
    <w:p w:rsidR="00CD49CC" w:rsidRPr="00561A8A" w:rsidRDefault="00CD49CC" w:rsidP="00821277">
      <w:pPr>
        <w:pStyle w:val="Heading3"/>
        <w:spacing w:before="240" w:after="60"/>
        <w:rPr>
          <w:i/>
          <w:iCs/>
        </w:rPr>
      </w:pPr>
      <w:r w:rsidRPr="00561A8A">
        <w:t>Uses</w:t>
      </w:r>
    </w:p>
    <w:p w:rsidR="00F7448A" w:rsidRDefault="00F325AE">
      <w:pPr>
        <w:pStyle w:val="NRCSBodyText"/>
        <w:rPr>
          <w:i/>
        </w:rPr>
      </w:pPr>
      <w:r w:rsidRPr="00CA08F1">
        <w:rPr>
          <w:i/>
        </w:rPr>
        <w:t>Livestock:</w:t>
      </w:r>
      <w:r w:rsidRPr="004C4CFA">
        <w:t xml:space="preserve"> </w:t>
      </w:r>
      <w:r w:rsidR="00525D6B" w:rsidRPr="004C4CFA">
        <w:t xml:space="preserve">Switchgrass </w:t>
      </w:r>
      <w:r w:rsidR="0003654A">
        <w:t xml:space="preserve">produces </w:t>
      </w:r>
      <w:r w:rsidR="00525D6B" w:rsidRPr="004C4CFA">
        <w:t xml:space="preserve">heavy growth during late spring and early summer. It provides good warm-season pasture and high quality hay for livestock. </w:t>
      </w:r>
    </w:p>
    <w:p w:rsidR="00F7448A" w:rsidRDefault="00525D6B" w:rsidP="00821277">
      <w:pPr>
        <w:pStyle w:val="NRCSBodyText"/>
        <w:spacing w:before="60"/>
      </w:pPr>
      <w:r w:rsidRPr="00CA08F1">
        <w:rPr>
          <w:i/>
        </w:rPr>
        <w:t>Erosion Control</w:t>
      </w:r>
      <w:r w:rsidR="0050040F" w:rsidRPr="0050040F">
        <w:t>:</w:t>
      </w:r>
      <w:r w:rsidRPr="004C4CFA">
        <w:t xml:space="preserve"> Switchgrass is perhaps our most valuable native grass</w:t>
      </w:r>
      <w:r w:rsidR="007E50CD">
        <w:t>, adapted to a</w:t>
      </w:r>
      <w:r w:rsidRPr="004C4CFA">
        <w:t xml:space="preserve"> wide range of sites. It stabilize</w:t>
      </w:r>
      <w:r w:rsidR="0003654A">
        <w:t>s soil</w:t>
      </w:r>
      <w:r w:rsidRPr="004C4CFA">
        <w:t xml:space="preserve"> on strip-mine </w:t>
      </w:r>
      <w:r w:rsidR="00D83333" w:rsidRPr="004C4CFA">
        <w:t>spoils, sand</w:t>
      </w:r>
      <w:r w:rsidRPr="004C4CFA">
        <w:t xml:space="preserve"> </w:t>
      </w:r>
      <w:r w:rsidR="00D83333" w:rsidRPr="004C4CFA">
        <w:t>dunes, dikes</w:t>
      </w:r>
      <w:r w:rsidRPr="004C4CFA">
        <w:t xml:space="preserve">, </w:t>
      </w:r>
      <w:r w:rsidR="00F41A9F" w:rsidRPr="004C4CFA">
        <w:t xml:space="preserve">gullies </w:t>
      </w:r>
      <w:r w:rsidRPr="004C4CFA">
        <w:t>and other critical areas. It is also suitable for low windbreak plantings in crop fields.</w:t>
      </w:r>
    </w:p>
    <w:p w:rsidR="00F41A9F" w:rsidRPr="004C4CFA" w:rsidRDefault="00F41A9F" w:rsidP="00821277">
      <w:pPr>
        <w:pStyle w:val="NRCSBodyText"/>
        <w:spacing w:before="60"/>
      </w:pPr>
      <w:r w:rsidRPr="00046DEB">
        <w:rPr>
          <w:i/>
        </w:rPr>
        <w:t>Wildlife</w:t>
      </w:r>
      <w:r w:rsidR="0050040F" w:rsidRPr="0050040F">
        <w:t>:</w:t>
      </w:r>
      <w:r w:rsidRPr="004C4CFA">
        <w:t xml:space="preserve"> </w:t>
      </w:r>
      <w:r w:rsidR="001E782F" w:rsidRPr="004C4CFA">
        <w:t>Switchgrass provides excellent nesting and cover for pheasants, quail, and rabbits. It holds up in heavy snow (particularly ‘Shelter’ and ‘Kanlow’) and is useful on shooting preserves. The seed provide food for pheasants, quail, turkeys, doves, and songbirds.</w:t>
      </w:r>
      <w:r w:rsidR="0003654A">
        <w:t xml:space="preserve"> D</w:t>
      </w:r>
      <w:r w:rsidR="001E782F" w:rsidRPr="004C4CFA">
        <w:t>ue to</w:t>
      </w:r>
      <w:r w:rsidR="0003654A">
        <w:t xml:space="preserve"> its</w:t>
      </w:r>
      <w:r w:rsidR="001E782F" w:rsidRPr="004C4CFA">
        <w:t xml:space="preserve"> </w:t>
      </w:r>
      <w:r w:rsidR="0003654A">
        <w:t xml:space="preserve">potential to </w:t>
      </w:r>
      <w:r w:rsidR="001E782F" w:rsidRPr="004C4CFA">
        <w:t xml:space="preserve">spread some </w:t>
      </w:r>
      <w:r w:rsidR="0003654A">
        <w:t xml:space="preserve">wildlife </w:t>
      </w:r>
      <w:r w:rsidR="001E782F" w:rsidRPr="004C4CFA">
        <w:t>biologists have reduced or eliminated the use of switchgrass in some plantings.</w:t>
      </w:r>
    </w:p>
    <w:p w:rsidR="007E50D0" w:rsidRPr="007E50D0" w:rsidRDefault="0050040F" w:rsidP="00821277">
      <w:pPr>
        <w:spacing w:before="60"/>
        <w:jc w:val="left"/>
        <w:rPr>
          <w:sz w:val="20"/>
        </w:rPr>
      </w:pPr>
      <w:r w:rsidRPr="0050040F">
        <w:rPr>
          <w:i/>
          <w:sz w:val="20"/>
        </w:rPr>
        <w:t>Biofuel Source</w:t>
      </w:r>
      <w:r>
        <w:rPr>
          <w:sz w:val="20"/>
        </w:rPr>
        <w:t xml:space="preserve">: Switchgrass is a native </w:t>
      </w:r>
      <w:hyperlink r:id="rId16" w:tooltip="Perennial" w:history="1">
        <w:r w:rsidRPr="0050040F">
          <w:rPr>
            <w:rStyle w:val="Hyperlink"/>
            <w:color w:val="auto"/>
            <w:sz w:val="20"/>
            <w:u w:val="none"/>
          </w:rPr>
          <w:t>perennial</w:t>
        </w:r>
      </w:hyperlink>
      <w:r w:rsidRPr="0050040F">
        <w:rPr>
          <w:sz w:val="20"/>
        </w:rPr>
        <w:t xml:space="preserve"> warm season </w:t>
      </w:r>
      <w:hyperlink r:id="rId17" w:tooltip="Grass" w:history="1">
        <w:r w:rsidRPr="0050040F">
          <w:rPr>
            <w:rStyle w:val="Hyperlink"/>
            <w:color w:val="auto"/>
            <w:sz w:val="20"/>
            <w:u w:val="none"/>
          </w:rPr>
          <w:t>grass</w:t>
        </w:r>
      </w:hyperlink>
      <w:r w:rsidRPr="0050040F">
        <w:rPr>
          <w:sz w:val="20"/>
        </w:rPr>
        <w:t xml:space="preserve"> with the ability to produce moderate to high biomass </w:t>
      </w:r>
      <w:hyperlink r:id="rId18" w:tooltip="Crop yield" w:history="1">
        <w:r w:rsidRPr="0050040F">
          <w:rPr>
            <w:rStyle w:val="Hyperlink"/>
            <w:color w:val="auto"/>
            <w:sz w:val="20"/>
            <w:u w:val="none"/>
          </w:rPr>
          <w:t>yields</w:t>
        </w:r>
      </w:hyperlink>
      <w:r w:rsidRPr="0050040F">
        <w:rPr>
          <w:sz w:val="20"/>
        </w:rPr>
        <w:t xml:space="preserve"> on marginal lands. These characters have resulted in </w:t>
      </w:r>
      <w:r w:rsidR="007E50D0">
        <w:rPr>
          <w:sz w:val="20"/>
        </w:rPr>
        <w:t xml:space="preserve">the use of </w:t>
      </w:r>
      <w:r w:rsidRPr="0050040F">
        <w:rPr>
          <w:sz w:val="20"/>
        </w:rPr>
        <w:t xml:space="preserve">switchgrass in several bioenergy conversion processes, including </w:t>
      </w:r>
      <w:hyperlink r:id="rId19" w:tooltip="Cellulosic ethanol" w:history="1">
        <w:r w:rsidRPr="0050040F">
          <w:rPr>
            <w:rStyle w:val="Hyperlink"/>
            <w:color w:val="auto"/>
            <w:sz w:val="20"/>
            <w:u w:val="none"/>
          </w:rPr>
          <w:t>cellulosic ethanol</w:t>
        </w:r>
      </w:hyperlink>
      <w:r w:rsidRPr="0050040F">
        <w:rPr>
          <w:sz w:val="20"/>
        </w:rPr>
        <w:t xml:space="preserve"> </w:t>
      </w:r>
      <w:r w:rsidRPr="0050040F">
        <w:rPr>
          <w:sz w:val="20"/>
        </w:rPr>
        <w:lastRenderedPageBreak/>
        <w:t xml:space="preserve">production, </w:t>
      </w:r>
      <w:hyperlink r:id="rId20" w:tooltip="Biogas" w:history="1">
        <w:r w:rsidRPr="0050040F">
          <w:rPr>
            <w:rStyle w:val="Hyperlink"/>
            <w:color w:val="auto"/>
            <w:sz w:val="20"/>
            <w:u w:val="none"/>
          </w:rPr>
          <w:t>biogas</w:t>
        </w:r>
      </w:hyperlink>
      <w:r w:rsidRPr="0050040F">
        <w:rPr>
          <w:sz w:val="20"/>
        </w:rPr>
        <w:t xml:space="preserve">, and direct combustion for </w:t>
      </w:r>
      <w:hyperlink r:id="rId21" w:tooltip="Thermal energy" w:history="1">
        <w:r w:rsidRPr="0050040F">
          <w:rPr>
            <w:rStyle w:val="Hyperlink"/>
            <w:color w:val="auto"/>
            <w:sz w:val="20"/>
            <w:u w:val="none"/>
          </w:rPr>
          <w:t>thermal energy</w:t>
        </w:r>
      </w:hyperlink>
      <w:r w:rsidRPr="0050040F">
        <w:rPr>
          <w:sz w:val="20"/>
        </w:rPr>
        <w:t xml:space="preserve"> applications. </w:t>
      </w:r>
    </w:p>
    <w:p w:rsidR="00CD49CC" w:rsidRDefault="00CD49CC" w:rsidP="000968E2">
      <w:pPr>
        <w:pStyle w:val="Heading3"/>
        <w:spacing w:before="240"/>
      </w:pPr>
      <w:r w:rsidRPr="00561A8A">
        <w:t>Status</w:t>
      </w:r>
    </w:p>
    <w:p w:rsidR="00CD49CC" w:rsidRPr="004C4CFA" w:rsidRDefault="00CD49CC" w:rsidP="00821277">
      <w:pPr>
        <w:pStyle w:val="NRCSBodyText"/>
        <w:spacing w:before="60"/>
      </w:pPr>
      <w:r w:rsidRPr="004C4CFA">
        <w:t>Please consult the PLANTS Web site and your State Department of Natural Resources for this plant’s current status (</w:t>
      </w:r>
      <w:r w:rsidR="000F3296" w:rsidRPr="004C4CFA">
        <w:t>e.g.,</w:t>
      </w:r>
      <w:r w:rsidRPr="004C4CFA">
        <w:t xml:space="preserve"> threatened or endangered species, state noxious status, and wetland indicator values).</w:t>
      </w:r>
    </w:p>
    <w:p w:rsidR="00F0149C" w:rsidRDefault="00F0149C" w:rsidP="00776CDA">
      <w:pPr>
        <w:pStyle w:val="Heading3"/>
        <w:spacing w:before="240"/>
      </w:pPr>
      <w:r w:rsidRPr="00561A8A">
        <w:t>Weediness</w:t>
      </w:r>
    </w:p>
    <w:p w:rsidR="00F0149C" w:rsidRPr="004C4CFA" w:rsidRDefault="00F0149C" w:rsidP="00821277">
      <w:pPr>
        <w:pStyle w:val="NRCSBodyText"/>
        <w:spacing w:before="60"/>
      </w:pPr>
      <w:r w:rsidRPr="004C4CFA">
        <w:t xml:space="preserve">This plant may become weedy or invasive in some regions or habitats and may displace </w:t>
      </w:r>
      <w:r w:rsidR="0003654A">
        <w:t>other</w:t>
      </w:r>
      <w:r w:rsidRPr="004C4CFA">
        <w:t xml:space="preserve"> vegetation if not properly managed.  Please consult with your local NRCS Field Office, Cooperative Extension Service office, state natural resource, or state agriculture department regarding its status and use.  Weed information is also available from the PLANTS Web site at </w:t>
      </w:r>
      <w:hyperlink r:id="rId22" w:tooltip="PLANTS Web site" w:history="1">
        <w:r w:rsidR="00810C71" w:rsidRPr="004C4CFA">
          <w:rPr>
            <w:rStyle w:val="Hyperlink"/>
          </w:rPr>
          <w:t>http://plants.usda.gov</w:t>
        </w:r>
      </w:hyperlink>
      <w:r w:rsidRPr="004C4CFA">
        <w:t>.  Please consult the Related Web Sites on the Plant Profile for this species for further information.</w:t>
      </w:r>
    </w:p>
    <w:p w:rsidR="00D56D15" w:rsidRDefault="00D56D15" w:rsidP="00DA6393">
      <w:pPr>
        <w:pStyle w:val="Bodytext0"/>
        <w:spacing w:before="240"/>
        <w:rPr>
          <w:i/>
        </w:rPr>
      </w:pPr>
      <w:r w:rsidRPr="00D56D15">
        <w:rPr>
          <w:b/>
        </w:rPr>
        <w:t>Description and Adaptation</w:t>
      </w:r>
    </w:p>
    <w:p w:rsidR="00B36520" w:rsidRDefault="000D7BBF" w:rsidP="00821277">
      <w:pPr>
        <w:pStyle w:val="Bodytext0"/>
        <w:spacing w:before="60"/>
      </w:pPr>
      <w:r>
        <w:t>S</w:t>
      </w:r>
      <w:r w:rsidR="00D56D15" w:rsidRPr="004C4CFA">
        <w:t xml:space="preserve">witchgrass is native </w:t>
      </w:r>
      <w:r w:rsidR="0003654A">
        <w:t>in</w:t>
      </w:r>
      <w:r w:rsidR="00D56D15" w:rsidRPr="004C4CFA">
        <w:t xml:space="preserve"> </w:t>
      </w:r>
      <w:r w:rsidR="005C1B07">
        <w:t>the continental</w:t>
      </w:r>
      <w:r w:rsidR="00D56D15" w:rsidRPr="004C4CFA">
        <w:t xml:space="preserve"> United States except California and the Pacific Northwest. It is a</w:t>
      </w:r>
      <w:r w:rsidR="00CB4974" w:rsidRPr="004C4CFA">
        <w:t xml:space="preserve"> </w:t>
      </w:r>
      <w:r w:rsidR="00D56D15" w:rsidRPr="004C4CFA">
        <w:t xml:space="preserve">perennial </w:t>
      </w:r>
      <w:r w:rsidR="00CB4974" w:rsidRPr="004C4CFA">
        <w:t xml:space="preserve">bunch </w:t>
      </w:r>
      <w:r w:rsidR="000E1773" w:rsidRPr="004C4CFA">
        <w:t xml:space="preserve">grass </w:t>
      </w:r>
      <w:r w:rsidR="008037EC">
        <w:t>averaging</w:t>
      </w:r>
      <w:r w:rsidR="008037EC" w:rsidRPr="004C4CFA">
        <w:t xml:space="preserve"> </w:t>
      </w:r>
      <w:r w:rsidR="00D56D15" w:rsidRPr="004C4CFA">
        <w:t>3 to 5 feet tall</w:t>
      </w:r>
      <w:r>
        <w:t xml:space="preserve"> and may spread from short, stout rhizomes</w:t>
      </w:r>
      <w:r w:rsidR="00CB4974" w:rsidRPr="004C4CFA">
        <w:t>.</w:t>
      </w:r>
      <w:r w:rsidR="00D56D15" w:rsidRPr="004C4CFA">
        <w:t xml:space="preserve"> The stem</w:t>
      </w:r>
      <w:r w:rsidR="00CB4974" w:rsidRPr="004C4CFA">
        <w:t xml:space="preserve"> (culm)</w:t>
      </w:r>
      <w:r w:rsidR="00D56D15" w:rsidRPr="004C4CFA">
        <w:t xml:space="preserve"> is round and </w:t>
      </w:r>
      <w:r w:rsidR="00CB4974" w:rsidRPr="004C4CFA">
        <w:t>can have</w:t>
      </w:r>
      <w:r w:rsidR="00D56D15" w:rsidRPr="004C4CFA">
        <w:t xml:space="preserve"> </w:t>
      </w:r>
      <w:r w:rsidR="00201DA1" w:rsidRPr="004C4CFA">
        <w:t>a r</w:t>
      </w:r>
      <w:r w:rsidR="00D56D15" w:rsidRPr="004C4CFA">
        <w:t>e</w:t>
      </w:r>
      <w:r w:rsidR="00201DA1" w:rsidRPr="004C4CFA">
        <w:t>d to straw colored tint.</w:t>
      </w:r>
      <w:r w:rsidR="00D56D15" w:rsidRPr="004C4CFA">
        <w:t xml:space="preserve"> The seed head is an open, spreading panicle.</w:t>
      </w:r>
    </w:p>
    <w:p w:rsidR="00D56D15" w:rsidRPr="004C4CFA" w:rsidRDefault="005C1B07" w:rsidP="00821277">
      <w:pPr>
        <w:pStyle w:val="Bodytext0"/>
        <w:spacing w:before="60"/>
      </w:pPr>
      <w:r>
        <w:t>S</w:t>
      </w:r>
      <w:r w:rsidR="00D56D15" w:rsidRPr="004C4CFA">
        <w:t>witchgrass is climatically adapted throughout most of the United States</w:t>
      </w:r>
      <w:r>
        <w:t xml:space="preserve"> when planted on suitable soils</w:t>
      </w:r>
      <w:r w:rsidR="00D56D15" w:rsidRPr="004C4CFA">
        <w:t>. Moderately deep to deep, somewhat dry to poorly drained, sandy to clay loam soils are best.  It does poorly on</w:t>
      </w:r>
      <w:r w:rsidR="00F75529" w:rsidRPr="004C4CFA">
        <w:t xml:space="preserve"> some</w:t>
      </w:r>
      <w:r w:rsidR="00D56D15" w:rsidRPr="004C4CFA">
        <w:t xml:space="preserve"> heavy soils.  In the East, it performs well on shallow and droughty soil</w:t>
      </w:r>
      <w:r w:rsidR="00D73CA6">
        <w:t>s</w:t>
      </w:r>
      <w:r w:rsidR="00D56D15" w:rsidRPr="004C4CFA">
        <w:t>.</w:t>
      </w:r>
      <w:r w:rsidR="00F75529" w:rsidRPr="004C4CFA">
        <w:t xml:space="preserve"> Switchgrass occurs naturally on prairies, open oak and pine woodlands, shores, </w:t>
      </w:r>
      <w:r w:rsidR="000E1773" w:rsidRPr="004C4CFA">
        <w:t>riverbanks</w:t>
      </w:r>
      <w:r w:rsidR="0088535A" w:rsidRPr="004C4CFA">
        <w:t>, and</w:t>
      </w:r>
      <w:r w:rsidR="00F75529" w:rsidRPr="004C4CFA">
        <w:t xml:space="preserve"> high brackish marshes along maritime forest ecoton</w:t>
      </w:r>
      <w:r w:rsidR="00DB6AE7" w:rsidRPr="004C4CFA">
        <w:t>es</w:t>
      </w:r>
      <w:r w:rsidR="00F75529" w:rsidRPr="004C4CFA">
        <w:t xml:space="preserve">. </w:t>
      </w:r>
    </w:p>
    <w:p w:rsidR="00F7448A" w:rsidRDefault="00D56D15" w:rsidP="005C1B07">
      <w:pPr>
        <w:pStyle w:val="NRCSBodyText"/>
        <w:spacing w:before="60" w:after="120"/>
      </w:pPr>
      <w:r w:rsidRPr="004C4CFA">
        <w:t>For updated distribution, please consult the Plant Profile page for this species on the PLANTS Web site.</w:t>
      </w:r>
    </w:p>
    <w:p w:rsidR="005C1B07" w:rsidRDefault="005C1B07" w:rsidP="005C1B07">
      <w:pPr>
        <w:pStyle w:val="NRCSBodyText"/>
        <w:spacing w:before="60"/>
      </w:pPr>
      <w:r>
        <w:rPr>
          <w:rFonts w:ascii="Verdana" w:hAnsi="Verdana"/>
          <w:noProof/>
          <w:color w:val="000000"/>
          <w:sz w:val="17"/>
          <w:szCs w:val="17"/>
        </w:rPr>
        <w:t xml:space="preserve">              </w:t>
      </w:r>
      <w:r>
        <w:rPr>
          <w:rFonts w:ascii="Verdana" w:hAnsi="Verdana"/>
          <w:noProof/>
          <w:color w:val="000000"/>
          <w:sz w:val="17"/>
          <w:szCs w:val="17"/>
        </w:rPr>
        <w:drawing>
          <wp:inline distT="0" distB="0" distL="0" distR="0">
            <wp:extent cx="1869570" cy="1553181"/>
            <wp:effectExtent l="19050" t="19050" r="16380" b="27969"/>
            <wp:docPr id="6" name="Picture 2" descr="Distribution of switchgrass in the United States; from the PLANT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I2.png"/>
                    <pic:cNvPicPr/>
                  </pic:nvPicPr>
                  <pic:blipFill>
                    <a:blip r:embed="rId23" cstate="print"/>
                    <a:stretch>
                      <a:fillRect/>
                    </a:stretch>
                  </pic:blipFill>
                  <pic:spPr>
                    <a:xfrm>
                      <a:off x="0" y="0"/>
                      <a:ext cx="1872071" cy="1555259"/>
                    </a:xfrm>
                    <a:prstGeom prst="rect">
                      <a:avLst/>
                    </a:prstGeom>
                    <a:ln w="19050">
                      <a:solidFill>
                        <a:schemeClr val="tx2">
                          <a:lumMod val="60000"/>
                          <a:lumOff val="40000"/>
                        </a:schemeClr>
                      </a:solidFill>
                    </a:ln>
                  </pic:spPr>
                </pic:pic>
              </a:graphicData>
            </a:graphic>
          </wp:inline>
        </w:drawing>
      </w:r>
    </w:p>
    <w:p w:rsidR="00F7448A" w:rsidRDefault="00875ED1" w:rsidP="00210BAB">
      <w:pPr>
        <w:pStyle w:val="CaptionNRCS"/>
      </w:pPr>
      <w:r>
        <w:t xml:space="preserve">         </w:t>
      </w:r>
      <w:r w:rsidR="000E1773">
        <w:t>Switchgrass distribution</w:t>
      </w:r>
      <w:r w:rsidR="003C5000">
        <w:t xml:space="preserve"> from USDA-NRCS PLANTS Database.</w:t>
      </w:r>
    </w:p>
    <w:p w:rsidR="00CD49CC" w:rsidRDefault="00CD49CC" w:rsidP="00821277">
      <w:pPr>
        <w:pStyle w:val="Heading3"/>
        <w:spacing w:before="240" w:after="60"/>
      </w:pPr>
      <w:r w:rsidRPr="00561A8A">
        <w:lastRenderedPageBreak/>
        <w:t>Establishment</w:t>
      </w:r>
    </w:p>
    <w:p w:rsidR="000D7BBF" w:rsidRDefault="00C34429" w:rsidP="00821277">
      <w:pPr>
        <w:pStyle w:val="Bodytext0"/>
        <w:spacing w:before="60"/>
        <w:rPr>
          <w:b/>
        </w:rPr>
      </w:pPr>
      <w:r>
        <w:t xml:space="preserve">Switchgrass </w:t>
      </w:r>
      <w:r w:rsidR="000D7BBF">
        <w:t>is planted</w:t>
      </w:r>
      <w:r w:rsidR="005C1B07">
        <w:t xml:space="preserve"> using the pure live seed (PLS)</w:t>
      </w:r>
      <w:r w:rsidR="008037EC">
        <w:t>, typically at a seeding rate of 6-12 lbs. PLS/acre</w:t>
      </w:r>
      <w:r w:rsidR="000E1773">
        <w:t xml:space="preserve">. </w:t>
      </w:r>
      <w:r w:rsidR="007A0446">
        <w:t xml:space="preserve">Seeding rates and dates </w:t>
      </w:r>
      <w:r w:rsidR="000D7BBF">
        <w:t>vary according to cultivar</w:t>
      </w:r>
      <w:r w:rsidR="008037EC">
        <w:t>,</w:t>
      </w:r>
      <w:r w:rsidR="005C1B07">
        <w:t xml:space="preserve"> region of adaptation</w:t>
      </w:r>
      <w:r w:rsidR="008037EC">
        <w:t>, and purpose</w:t>
      </w:r>
      <w:r w:rsidR="000E1773">
        <w:t xml:space="preserve">. </w:t>
      </w:r>
      <w:r w:rsidR="007A0446">
        <w:t xml:space="preserve">Consult with your local NRCS office or extension office for the proper seeding rates and dates for switchgrass cultivars in your region. </w:t>
      </w:r>
      <w:r w:rsidR="000E567B">
        <w:t>Mix</w:t>
      </w:r>
      <w:r w:rsidR="00D73CA6">
        <w:t>ed</w:t>
      </w:r>
      <w:r w:rsidR="000E567B">
        <w:t xml:space="preserve"> planting</w:t>
      </w:r>
      <w:r w:rsidR="00C24135">
        <w:t>s</w:t>
      </w:r>
      <w:r w:rsidR="000E567B">
        <w:t xml:space="preserve"> </w:t>
      </w:r>
      <w:r w:rsidR="0003654A">
        <w:t>may b</w:t>
      </w:r>
      <w:r w:rsidR="000D7BBF">
        <w:t>e</w:t>
      </w:r>
      <w:r w:rsidR="0003654A">
        <w:t xml:space="preserve"> </w:t>
      </w:r>
      <w:r w:rsidR="00130F61">
        <w:t>seeded at a</w:t>
      </w:r>
      <w:r w:rsidR="000E567B">
        <w:t xml:space="preserve"> </w:t>
      </w:r>
      <w:r w:rsidR="00130F61">
        <w:t xml:space="preserve">lower </w:t>
      </w:r>
      <w:r w:rsidR="000E567B">
        <w:t>rate</w:t>
      </w:r>
      <w:r w:rsidR="00130F61">
        <w:t xml:space="preserve">. </w:t>
      </w:r>
      <w:r w:rsidR="00D73CA6">
        <w:t xml:space="preserve">The seed </w:t>
      </w:r>
      <w:r>
        <w:t xml:space="preserve">can be planted </w:t>
      </w:r>
      <w:r w:rsidR="00130F61">
        <w:t xml:space="preserve">using </w:t>
      </w:r>
      <w:r>
        <w:t>seed drills or broadcast spreader</w:t>
      </w:r>
      <w:r w:rsidR="0003654A">
        <w:t>s</w:t>
      </w:r>
      <w:r>
        <w:t xml:space="preserve">. Seedbeds should be firmed prior to </w:t>
      </w:r>
      <w:r w:rsidR="00130F61">
        <w:t>seeding</w:t>
      </w:r>
      <w:r>
        <w:t xml:space="preserve">. </w:t>
      </w:r>
      <w:r w:rsidR="00130F61">
        <w:t>When u</w:t>
      </w:r>
      <w:r>
        <w:t>sing the broadcast method, the area should be rolled after</w:t>
      </w:r>
      <w:r w:rsidR="00130F61">
        <w:t xml:space="preserve"> seeding</w:t>
      </w:r>
      <w:r>
        <w:t xml:space="preserve"> to </w:t>
      </w:r>
      <w:r w:rsidR="00130F61">
        <w:t>increase the seed to soil contact</w:t>
      </w:r>
      <w:r>
        <w:t>.  No</w:t>
      </w:r>
      <w:r w:rsidR="00130F61">
        <w:t xml:space="preserve"> </w:t>
      </w:r>
      <w:r>
        <w:t>till</w:t>
      </w:r>
      <w:r>
        <w:rPr>
          <w:b/>
        </w:rPr>
        <w:t xml:space="preserve"> </w:t>
      </w:r>
      <w:r>
        <w:t>seedings in closely grazed or burned sod also have been successful</w:t>
      </w:r>
      <w:r w:rsidR="00821277">
        <w:rPr>
          <w:b/>
        </w:rPr>
        <w:t>.</w:t>
      </w:r>
    </w:p>
    <w:p w:rsidR="005C1B07" w:rsidRPr="000E1773" w:rsidRDefault="000E1773" w:rsidP="000E1773">
      <w:pPr>
        <w:pStyle w:val="Bodytext0"/>
        <w:spacing w:before="60"/>
      </w:pPr>
      <w:r>
        <w:t xml:space="preserve">For further information on establishing switchgrass, see NRCS Technical Note No. 3, </w:t>
      </w:r>
      <w:hyperlink r:id="rId24" w:history="1">
        <w:r w:rsidRPr="000E1773">
          <w:rPr>
            <w:rStyle w:val="Hyperlink"/>
            <w:bCs/>
            <w:i/>
          </w:rPr>
          <w:t>Planting and Managing Switchgrass as a Biomass Energy Crop</w:t>
        </w:r>
      </w:hyperlink>
    </w:p>
    <w:p w:rsidR="00F7448A" w:rsidRDefault="0050040F" w:rsidP="00821277">
      <w:pPr>
        <w:pStyle w:val="Bodytext0"/>
        <w:spacing w:before="240" w:after="60"/>
      </w:pPr>
      <w:r w:rsidRPr="0050040F">
        <w:rPr>
          <w:b/>
        </w:rPr>
        <w:t>Management</w:t>
      </w:r>
    </w:p>
    <w:p w:rsidR="004A7BD5" w:rsidRDefault="00130F61" w:rsidP="004A7BD5">
      <w:pPr>
        <w:pStyle w:val="Bodytext0"/>
      </w:pPr>
      <w:r>
        <w:t>C</w:t>
      </w:r>
      <w:r w:rsidR="004A7BD5">
        <w:t>ontrol weeds during establishment</w:t>
      </w:r>
      <w:r>
        <w:t xml:space="preserve"> by</w:t>
      </w:r>
      <w:r w:rsidR="004A7BD5">
        <w:t xml:space="preserve"> mow</w:t>
      </w:r>
      <w:r>
        <w:t>ing</w:t>
      </w:r>
      <w:r w:rsidR="004A7BD5">
        <w:t xml:space="preserve"> to a height of 4 inches in May or 6 inches in June or July.  Grazing is generally not recommended the first year</w:t>
      </w:r>
      <w:r w:rsidR="00D73CA6">
        <w:t>.</w:t>
      </w:r>
    </w:p>
    <w:p w:rsidR="004A7BD5" w:rsidRDefault="004A7BD5" w:rsidP="00821277">
      <w:pPr>
        <w:pStyle w:val="Bodytext0"/>
        <w:spacing w:before="60"/>
      </w:pPr>
      <w:r>
        <w:t>Established stands of switchgrass may be fertilized in accordance with soil tests</w:t>
      </w:r>
      <w:r w:rsidR="00FF58E0">
        <w:t xml:space="preserve">. </w:t>
      </w:r>
      <w:r>
        <w:t>Switchgrass benefit</w:t>
      </w:r>
      <w:r w:rsidR="00130F61">
        <w:t>s</w:t>
      </w:r>
      <w:r>
        <w:t xml:space="preserve"> from burning prior to initiation of spring growth. Burning every 3 to 5 years decreases weed competition, eliminates excessive residue and stimulates growth. Switchgrass for wildlife food and cover should be burned once every </w:t>
      </w:r>
      <w:r w:rsidR="009D4212">
        <w:t>2</w:t>
      </w:r>
      <w:r>
        <w:t xml:space="preserve"> years</w:t>
      </w:r>
      <w:r w:rsidR="009D4212">
        <w:t xml:space="preserve"> </w:t>
      </w:r>
      <w:r>
        <w:t>to reduce mulch accumulations that</w:t>
      </w:r>
      <w:r w:rsidRPr="004A7BD5">
        <w:t xml:space="preserve"> </w:t>
      </w:r>
      <w:r>
        <w:t>inhibit</w:t>
      </w:r>
      <w:r w:rsidR="00FF58E0">
        <w:t>s</w:t>
      </w:r>
      <w:r>
        <w:t xml:space="preserve"> movement of hatchlings and attract</w:t>
      </w:r>
      <w:r w:rsidR="00FF58E0">
        <w:t>s</w:t>
      </w:r>
      <w:r>
        <w:t xml:space="preserve"> nest predators.</w:t>
      </w:r>
    </w:p>
    <w:p w:rsidR="008D6C29" w:rsidRPr="005F3F46" w:rsidRDefault="00102B00" w:rsidP="00821277">
      <w:pPr>
        <w:pStyle w:val="Heading3"/>
        <w:spacing w:before="60" w:after="60"/>
        <w:rPr>
          <w:b w:val="0"/>
        </w:rPr>
      </w:pPr>
      <w:r w:rsidRPr="00102B00">
        <w:rPr>
          <w:b w:val="0"/>
        </w:rPr>
        <w:t>Switchgrass</w:t>
      </w:r>
      <w:r w:rsidR="005F3F46">
        <w:rPr>
          <w:b w:val="0"/>
        </w:rPr>
        <w:t xml:space="preserve"> </w:t>
      </w:r>
      <w:r w:rsidRPr="00102B00">
        <w:rPr>
          <w:b w:val="0"/>
        </w:rPr>
        <w:t xml:space="preserve">can provide quality forage for livestock </w:t>
      </w:r>
      <w:r w:rsidR="005F3F46">
        <w:rPr>
          <w:b w:val="0"/>
        </w:rPr>
        <w:t>when properly managed</w:t>
      </w:r>
      <w:r w:rsidR="00206DF8">
        <w:rPr>
          <w:b w:val="0"/>
        </w:rPr>
        <w:t xml:space="preserve"> for grazing or cut for hay </w:t>
      </w:r>
      <w:r w:rsidR="005F3F46">
        <w:rPr>
          <w:b w:val="0"/>
        </w:rPr>
        <w:t xml:space="preserve">.  Consult with your local </w:t>
      </w:r>
      <w:r w:rsidR="007A0446">
        <w:rPr>
          <w:b w:val="0"/>
        </w:rPr>
        <w:t>NRCS</w:t>
      </w:r>
      <w:r w:rsidR="005F3F46">
        <w:rPr>
          <w:b w:val="0"/>
        </w:rPr>
        <w:t xml:space="preserve"> </w:t>
      </w:r>
      <w:r w:rsidR="00206DF8">
        <w:rPr>
          <w:b w:val="0"/>
        </w:rPr>
        <w:t xml:space="preserve">office </w:t>
      </w:r>
      <w:r w:rsidR="005F3F46">
        <w:rPr>
          <w:b w:val="0"/>
        </w:rPr>
        <w:t>or extension service in developing a grazing</w:t>
      </w:r>
      <w:r w:rsidR="00206DF8">
        <w:rPr>
          <w:b w:val="0"/>
        </w:rPr>
        <w:t xml:space="preserve"> and hay management</w:t>
      </w:r>
      <w:r w:rsidR="0088535A">
        <w:rPr>
          <w:b w:val="0"/>
        </w:rPr>
        <w:t xml:space="preserve"> plan for your region.</w:t>
      </w:r>
    </w:p>
    <w:p w:rsidR="00CD49CC" w:rsidRDefault="00CD49CC" w:rsidP="00821277">
      <w:pPr>
        <w:pStyle w:val="Heading3"/>
        <w:spacing w:before="240" w:after="60"/>
      </w:pPr>
      <w:r w:rsidRPr="00561A8A">
        <w:t>Pests and Potential Problems</w:t>
      </w:r>
    </w:p>
    <w:p w:rsidR="004C4CFA" w:rsidRDefault="008D6C29" w:rsidP="004C4CFA">
      <w:pPr>
        <w:pStyle w:val="Bodytext0"/>
      </w:pPr>
      <w:r>
        <w:t>Grasshoppers,</w:t>
      </w:r>
      <w:r w:rsidR="004C4CFA">
        <w:t xml:space="preserve"> leafhoppers and armyworms can be major pests in new seedings and established stands. Some stands are impacted by damping off and seedling blight.  Leaf rust </w:t>
      </w:r>
      <w:r w:rsidR="00FF58E0">
        <w:t>may</w:t>
      </w:r>
      <w:r w:rsidR="004C4CFA">
        <w:t xml:space="preserve"> affect forage quality.</w:t>
      </w:r>
      <w:r w:rsidR="0088535A">
        <w:t xml:space="preserve"> </w:t>
      </w:r>
      <w:r w:rsidR="000E1773">
        <w:t>S</w:t>
      </w:r>
      <w:r w:rsidR="0088535A">
        <w:t>mut can cause significant seed loss</w:t>
      </w:r>
      <w:r w:rsidR="000E1773">
        <w:t>. Smut</w:t>
      </w:r>
      <w:r w:rsidR="0088535A">
        <w:t xml:space="preserve"> </w:t>
      </w:r>
      <w:proofErr w:type="gramStart"/>
      <w:r w:rsidR="0088535A">
        <w:t>has been found</w:t>
      </w:r>
      <w:proofErr w:type="gramEnd"/>
      <w:r w:rsidR="0088535A">
        <w:t xml:space="preserve"> on the cultivars ‘Cave-in-Rock’, ‘Blackwell’, ‘Pathfinder’, ‘Shelter’, and ‘Summer’. A switchgrass moth has been reported on young switchgrass tillers </w:t>
      </w:r>
      <w:r w:rsidR="00BD57B1">
        <w:t xml:space="preserve">that could </w:t>
      </w:r>
      <w:r w:rsidR="000E1773">
        <w:t>affect</w:t>
      </w:r>
      <w:r w:rsidR="00BD57B1">
        <w:t xml:space="preserve"> stand and productivity in </w:t>
      </w:r>
      <w:r w:rsidR="0088535A">
        <w:t>the northern Great Plains.</w:t>
      </w:r>
    </w:p>
    <w:p w:rsidR="00CD49CC" w:rsidRDefault="00CD49CC" w:rsidP="0040152F">
      <w:pPr>
        <w:pStyle w:val="Heading3"/>
        <w:spacing w:before="240"/>
      </w:pPr>
      <w:r w:rsidRPr="00561A8A">
        <w:t>Environmental Concerns</w:t>
      </w:r>
    </w:p>
    <w:p w:rsidR="00F42B3F" w:rsidRPr="00F42B3F" w:rsidRDefault="00F42B3F" w:rsidP="00821277">
      <w:pPr>
        <w:pStyle w:val="NRCSBodyText"/>
        <w:spacing w:before="60"/>
      </w:pPr>
      <w:r>
        <w:t xml:space="preserve">Switchgrass can spread, especially in a </w:t>
      </w:r>
      <w:r w:rsidR="00D83333">
        <w:t>wildlife</w:t>
      </w:r>
      <w:r>
        <w:t xml:space="preserve"> planting</w:t>
      </w:r>
      <w:r w:rsidR="00D83333">
        <w:t>,</w:t>
      </w:r>
      <w:r>
        <w:t xml:space="preserve"> and reduce growth of other native warm season grasses </w:t>
      </w:r>
      <w:r w:rsidR="0003654A">
        <w:t>such as</w:t>
      </w:r>
      <w:r>
        <w:t xml:space="preserve"> big bluestem, </w:t>
      </w:r>
      <w:r w:rsidR="00D83333">
        <w:t>I</w:t>
      </w:r>
      <w:r>
        <w:t xml:space="preserve">ndiangrass and little bluestem.  </w:t>
      </w:r>
      <w:r w:rsidR="00FF58E0">
        <w:t>C</w:t>
      </w:r>
      <w:r>
        <w:t>ultivars have been reported to dominate and reduce native switchgrasses stands in natural plant communities and restoration sites.</w:t>
      </w:r>
    </w:p>
    <w:p w:rsidR="004D7D29" w:rsidRPr="00561A8A" w:rsidRDefault="00F0149C" w:rsidP="00821277">
      <w:pPr>
        <w:pStyle w:val="Heading3"/>
        <w:spacing w:before="240" w:after="60"/>
        <w:rPr>
          <w:i/>
          <w:iCs/>
        </w:rPr>
      </w:pPr>
      <w:r w:rsidRPr="00561A8A">
        <w:lastRenderedPageBreak/>
        <w:t>Control</w:t>
      </w:r>
    </w:p>
    <w:p w:rsidR="00F0149C" w:rsidRPr="003007A8" w:rsidRDefault="00F0149C" w:rsidP="0074131F">
      <w:pPr>
        <w:pStyle w:val="NRCSBodyText"/>
      </w:pPr>
      <w:r>
        <w:t xml:space="preserve">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w:t>
      </w:r>
      <w:r w:rsidRPr="003007A8">
        <w:t>named, and other products may be equally effective.</w:t>
      </w:r>
    </w:p>
    <w:p w:rsidR="00CD49CC" w:rsidRDefault="00CD49CC" w:rsidP="0040152F">
      <w:pPr>
        <w:pStyle w:val="Heading3"/>
        <w:spacing w:before="240"/>
      </w:pPr>
      <w:r w:rsidRPr="00561A8A">
        <w:t>Cultivars, Improved, and Selected Materials (and area of origin)</w:t>
      </w:r>
    </w:p>
    <w:p w:rsidR="007731F3" w:rsidRDefault="007731F3" w:rsidP="00821277">
      <w:pPr>
        <w:pStyle w:val="Bodytext0"/>
        <w:spacing w:before="60"/>
      </w:pPr>
      <w:r>
        <w:t xml:space="preserve">‘Alamo’ (TX), ‘Blackwell’ (OK), </w:t>
      </w:r>
      <w:r w:rsidR="00A55F43">
        <w:t xml:space="preserve">Bomaster (NC) ‘Carthage’ (NC), </w:t>
      </w:r>
      <w:r>
        <w:t xml:space="preserve">‘Cave-In-Rock’ (IL), </w:t>
      </w:r>
      <w:r w:rsidR="00541776">
        <w:t>Central Iowa G</w:t>
      </w:r>
      <w:r w:rsidR="00A55F43">
        <w:t xml:space="preserve">ermplasm, </w:t>
      </w:r>
      <w:r>
        <w:t>‘</w:t>
      </w:r>
      <w:proofErr w:type="spellStart"/>
      <w:r>
        <w:t>Dacotah</w:t>
      </w:r>
      <w:proofErr w:type="spellEnd"/>
      <w:r>
        <w:t xml:space="preserve">’ (ND), </w:t>
      </w:r>
      <w:r w:rsidR="00A55F43">
        <w:t xml:space="preserve">Durham </w:t>
      </w:r>
      <w:proofErr w:type="spellStart"/>
      <w:r w:rsidR="00A55F43">
        <w:t>Germplasm</w:t>
      </w:r>
      <w:proofErr w:type="spellEnd"/>
      <w:r w:rsidR="00A55F43">
        <w:t xml:space="preserve"> (NC),</w:t>
      </w:r>
      <w:r>
        <w:t>‘</w:t>
      </w:r>
      <w:proofErr w:type="spellStart"/>
      <w:r>
        <w:t>Forestburg</w:t>
      </w:r>
      <w:proofErr w:type="spellEnd"/>
      <w:r>
        <w:t xml:space="preserve">’ (SD), </w:t>
      </w:r>
      <w:proofErr w:type="spellStart"/>
      <w:r w:rsidR="00A55F43">
        <w:t>HighTide</w:t>
      </w:r>
      <w:proofErr w:type="spellEnd"/>
      <w:r w:rsidR="00541776">
        <w:t xml:space="preserve"> </w:t>
      </w:r>
      <w:proofErr w:type="spellStart"/>
      <w:r w:rsidR="00541776">
        <w:t>Germplasm</w:t>
      </w:r>
      <w:proofErr w:type="spellEnd"/>
      <w:r w:rsidR="00541776">
        <w:t xml:space="preserve"> (MD)</w:t>
      </w:r>
      <w:r w:rsidR="00A55F43">
        <w:t xml:space="preserve">,  </w:t>
      </w:r>
      <w:r>
        <w:t>‘</w:t>
      </w:r>
      <w:proofErr w:type="spellStart"/>
      <w:r>
        <w:t>Kanlow</w:t>
      </w:r>
      <w:proofErr w:type="spellEnd"/>
      <w:r>
        <w:t xml:space="preserve">’ (OK), ‘Nebraska 28’ (NE), </w:t>
      </w:r>
      <w:r w:rsidR="00A55F43">
        <w:t xml:space="preserve">‘Pathfinder’, </w:t>
      </w:r>
      <w:r>
        <w:t>‘Shawnee</w:t>
      </w:r>
      <w:r w:rsidR="00541776">
        <w:t>’</w:t>
      </w:r>
      <w:r>
        <w:t>, ‘Shelter’ (WV)</w:t>
      </w:r>
      <w:r w:rsidR="00A55F43">
        <w:t xml:space="preserve">, ‘Sunburst’ (SD), ‘Summer’, </w:t>
      </w:r>
      <w:proofErr w:type="spellStart"/>
      <w:r w:rsidR="00DA6C4A">
        <w:t>Southlow</w:t>
      </w:r>
      <w:proofErr w:type="spellEnd"/>
      <w:r w:rsidR="00DA6C4A">
        <w:t xml:space="preserve"> Michigan </w:t>
      </w:r>
      <w:proofErr w:type="spellStart"/>
      <w:r w:rsidR="00541776">
        <w:t>G</w:t>
      </w:r>
      <w:r w:rsidR="00DA6C4A">
        <w:t>ermplasm</w:t>
      </w:r>
      <w:proofErr w:type="spellEnd"/>
      <w:r w:rsidR="00DA6C4A">
        <w:t xml:space="preserve">, </w:t>
      </w:r>
      <w:r w:rsidR="00A55F43">
        <w:t xml:space="preserve">Timber </w:t>
      </w:r>
      <w:proofErr w:type="spellStart"/>
      <w:r w:rsidR="00541776">
        <w:t>Germplasm</w:t>
      </w:r>
      <w:proofErr w:type="spellEnd"/>
      <w:r w:rsidR="00541776">
        <w:t xml:space="preserve"> (NC), </w:t>
      </w:r>
      <w:r>
        <w:t>Grenville (NM)</w:t>
      </w:r>
      <w:r w:rsidR="008D6C29">
        <w:t>,</w:t>
      </w:r>
      <w:r>
        <w:t xml:space="preserve"> Miami (Dade Co, FL), Stuart (Stuart, FL), </w:t>
      </w:r>
      <w:proofErr w:type="spellStart"/>
      <w:r>
        <w:t>Wabasso</w:t>
      </w:r>
      <w:proofErr w:type="spellEnd"/>
      <w:r>
        <w:t xml:space="preserve"> (</w:t>
      </w:r>
      <w:proofErr w:type="spellStart"/>
      <w:r>
        <w:t>Wabasso</w:t>
      </w:r>
      <w:proofErr w:type="spellEnd"/>
      <w:r>
        <w:t>, FL)</w:t>
      </w:r>
      <w:r w:rsidR="008037EC">
        <w:t>,</w:t>
      </w:r>
      <w:r>
        <w:t xml:space="preserve"> Penn Center </w:t>
      </w:r>
      <w:r w:rsidR="00A31B3E">
        <w:t>(Beaufort Co.</w:t>
      </w:r>
      <w:r>
        <w:t>SC</w:t>
      </w:r>
      <w:r w:rsidR="00A31B3E">
        <w:t>.</w:t>
      </w:r>
      <w:r w:rsidR="00BC5D6F">
        <w:t xml:space="preserve">; </w:t>
      </w:r>
      <w:r>
        <w:t>source identified veg</w:t>
      </w:r>
      <w:r w:rsidR="00A55F43">
        <w:t>et</w:t>
      </w:r>
      <w:r>
        <w:t>ative)</w:t>
      </w:r>
    </w:p>
    <w:p w:rsidR="00CD49CC" w:rsidRPr="00561A8A" w:rsidRDefault="00DA6393" w:rsidP="0040152F">
      <w:pPr>
        <w:pStyle w:val="Heading3"/>
        <w:spacing w:before="240"/>
        <w:rPr>
          <w:i/>
          <w:iCs/>
        </w:rPr>
      </w:pPr>
      <w:r>
        <w:t>P</w:t>
      </w:r>
      <w:r w:rsidR="00B17ED3">
        <w:t xml:space="preserve">repared By: </w:t>
      </w:r>
      <w:r w:rsidR="00B17ED3" w:rsidRPr="00BC5D6F">
        <w:rPr>
          <w:b w:val="0"/>
          <w:i/>
        </w:rPr>
        <w:t>Jimmy Carter Plant Materials Center</w:t>
      </w:r>
    </w:p>
    <w:p w:rsidR="00CD49CC" w:rsidRPr="00D57FE6" w:rsidRDefault="009C45C1" w:rsidP="00821277">
      <w:pPr>
        <w:pStyle w:val="Heading3"/>
        <w:spacing w:before="240" w:after="60"/>
      </w:pPr>
      <w:r w:rsidRPr="00D57FE6">
        <w:t>Citation</w:t>
      </w:r>
    </w:p>
    <w:p w:rsidR="00F3785A" w:rsidRDefault="008D6C29" w:rsidP="003E6391">
      <w:pPr>
        <w:pStyle w:val="NRCSBodyText"/>
        <w:rPr>
          <w:b/>
        </w:rPr>
      </w:pPr>
      <w:bookmarkStart w:id="0" w:name="OLE_LINK3"/>
      <w:bookmarkStart w:id="1" w:name="OLE_LINK4"/>
      <w:r>
        <w:t xml:space="preserve">Jimmy Carter Plant Materials Center. </w:t>
      </w:r>
      <w:r w:rsidR="00D83333">
        <w:t xml:space="preserve">2011. </w:t>
      </w:r>
      <w:r w:rsidR="00F3785A">
        <w:t xml:space="preserve">Plant </w:t>
      </w:r>
      <w:r w:rsidR="0038415D">
        <w:t>fact s</w:t>
      </w:r>
      <w:r w:rsidR="00F3785A">
        <w:t>heet</w:t>
      </w:r>
      <w:r w:rsidR="00F3785A" w:rsidRPr="00514BD8">
        <w:t xml:space="preserve"> for </w:t>
      </w:r>
      <w:r w:rsidR="00A31B3E">
        <w:t>switchgrass</w:t>
      </w:r>
      <w:r w:rsidR="00F3785A">
        <w:t xml:space="preserve"> (</w:t>
      </w:r>
      <w:r w:rsidR="00A31B3E" w:rsidRPr="00A31B3E">
        <w:rPr>
          <w:i/>
        </w:rPr>
        <w:t>Panicum virgatum</w:t>
      </w:r>
      <w:r w:rsidR="00A31B3E">
        <w:t xml:space="preserve"> L</w:t>
      </w:r>
      <w:r>
        <w:t>.</w:t>
      </w:r>
      <w:r w:rsidR="00A31B3E">
        <w:t>).</w:t>
      </w:r>
      <w:r w:rsidR="00F3785A">
        <w:t xml:space="preserve"> USDA-Natural Resources Conservation Service, </w:t>
      </w:r>
    </w:p>
    <w:bookmarkEnd w:id="0"/>
    <w:bookmarkEnd w:id="1"/>
    <w:p w:rsidR="009906F5" w:rsidRPr="00705B62" w:rsidRDefault="009906F5" w:rsidP="00776CDA">
      <w:pPr>
        <w:pStyle w:val="NRCSBodyText"/>
        <w:spacing w:before="240"/>
      </w:pPr>
      <w:r w:rsidRPr="00705B62">
        <w:t>Edited: [e.g., 08Sep2009 rg, 08Sep2009 jfh; 17Sep2009 jfe</w:t>
      </w:r>
      <w:r w:rsidR="00D0403E">
        <w:t xml:space="preserve">  21Jan 2011</w:t>
      </w:r>
      <w:r w:rsidR="008D6C29">
        <w:t xml:space="preserve"> </w:t>
      </w:r>
      <w:r w:rsidR="00D0403E">
        <w:t>mo</w:t>
      </w:r>
      <w:r w:rsidRPr="00705B62">
        <w:t>]</w:t>
      </w:r>
    </w:p>
    <w:p w:rsidR="00117649" w:rsidRDefault="006C47E2" w:rsidP="00D83333">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25"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26" w:tooltip="Plants Web site" w:history="1">
        <w:r w:rsidRPr="00810C71">
          <w:rPr>
            <w:rStyle w:val="Hyperlink"/>
          </w:rPr>
          <w:t>http://plants.usda.gov</w:t>
        </w:r>
      </w:hyperlink>
      <w:r w:rsidRPr="00810C71">
        <w:t>&gt; or the Plant Materials Program Web site &lt;</w:t>
      </w:r>
      <w:hyperlink r:id="rId27" w:history="1">
        <w:r w:rsidR="00810C71" w:rsidRPr="00FB7A4D">
          <w:rPr>
            <w:rStyle w:val="Hyperlink"/>
          </w:rPr>
          <w:t>http://plant-materials.nrcs.usda.gov</w:t>
        </w:r>
      </w:hyperlink>
      <w:r w:rsidRPr="00810C71">
        <w:t>&gt;</w:t>
      </w:r>
    </w:p>
    <w:p w:rsidR="000E1773" w:rsidRDefault="000E1773" w:rsidP="00D83333">
      <w:pPr>
        <w:pStyle w:val="NRCSBodyText"/>
        <w:spacing w:before="240"/>
      </w:pPr>
    </w:p>
    <w:p w:rsidR="000E1773" w:rsidRDefault="000E1773" w:rsidP="00D83333">
      <w:pPr>
        <w:pStyle w:val="NRCSBodyText"/>
        <w:spacing w:before="240"/>
      </w:pPr>
    </w:p>
    <w:p w:rsidR="000E1773" w:rsidRDefault="000E1773" w:rsidP="00D83333">
      <w:pPr>
        <w:pStyle w:val="NRCSBodyText"/>
        <w:spacing w:before="240"/>
      </w:pPr>
    </w:p>
    <w:p w:rsidR="000E1773" w:rsidRDefault="000E1773" w:rsidP="00D83333">
      <w:pPr>
        <w:pStyle w:val="NRCSBodyText"/>
        <w:spacing w:before="240"/>
      </w:pPr>
    </w:p>
    <w:p w:rsidR="000E1773" w:rsidRDefault="000E1773" w:rsidP="00D83333">
      <w:pPr>
        <w:pStyle w:val="NRCSBodyText"/>
        <w:spacing w:before="240"/>
      </w:pPr>
    </w:p>
    <w:p w:rsidR="000E1773" w:rsidRDefault="000E1773" w:rsidP="00D83333">
      <w:pPr>
        <w:pStyle w:val="NRCSBodyText"/>
        <w:spacing w:before="240"/>
      </w:pPr>
    </w:p>
    <w:p w:rsidR="000E1773" w:rsidRDefault="000E1773" w:rsidP="00D83333">
      <w:pPr>
        <w:pStyle w:val="NRCSBodyText"/>
        <w:spacing w:before="240"/>
        <w:sectPr w:rsidR="000E1773" w:rsidSect="00117649">
          <w:headerReference w:type="default" r:id="rId28"/>
          <w:footerReference w:type="default" r:id="rId29"/>
          <w:type w:val="continuous"/>
          <w:pgSz w:w="12240" w:h="15840" w:code="1"/>
          <w:pgMar w:top="1080" w:right="1080" w:bottom="1080" w:left="1080" w:header="720" w:footer="720" w:gutter="0"/>
          <w:cols w:num="2" w:space="720"/>
          <w:titlePg/>
          <w:docGrid w:linePitch="360"/>
        </w:sectPr>
      </w:pPr>
    </w:p>
    <w:p w:rsidR="000E1773" w:rsidRDefault="000E1773" w:rsidP="0095114D">
      <w:pPr>
        <w:pStyle w:val="Footer"/>
        <w:spacing w:before="240"/>
        <w:rPr>
          <w:b/>
          <w:color w:val="00A886"/>
          <w:sz w:val="20"/>
        </w:rPr>
      </w:pPr>
    </w:p>
    <w:p w:rsidR="00117649" w:rsidRPr="00061FD0" w:rsidRDefault="00117649" w:rsidP="0095114D">
      <w:pPr>
        <w:pStyle w:val="Footer"/>
        <w:spacing w:before="240"/>
        <w:rPr>
          <w:b/>
          <w:color w:val="00A886"/>
          <w:sz w:val="20"/>
        </w:rPr>
      </w:pPr>
      <w:r w:rsidRPr="00CD5C3F">
        <w:rPr>
          <w:b/>
          <w:color w:val="00A886"/>
          <w:sz w:val="20"/>
        </w:rPr>
        <w:t>USDA IS AN EQUAL OPPORTUNITY PROVIDER AND EMPLOYER</w:t>
      </w:r>
    </w:p>
    <w:sectPr w:rsidR="00117649" w:rsidRPr="00061FD0" w:rsidSect="00F325AE">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0344" w:rsidRDefault="00F70344">
      <w:r>
        <w:separator/>
      </w:r>
    </w:p>
  </w:endnote>
  <w:endnote w:type="continuationSeparator" w:id="0">
    <w:p w:rsidR="00F70344" w:rsidRDefault="00F7034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Myriad Pro">
    <w:altName w:val="Segoe UI"/>
    <w:panose1 w:val="00000000000000000000"/>
    <w:charset w:val="00"/>
    <w:family w:val="swiss"/>
    <w:notTrueType/>
    <w:pitch w:val="variable"/>
    <w:sig w:usb0="00000001" w:usb1="5000204B" w:usb2="00000000" w:usb3="00000000" w:csb0="0000019F" w:csb1="00000000"/>
  </w:font>
  <w:font w:name="ITCCentury Book">
    <w:altName w:val="ITCCentury Book"/>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559" w:rsidRDefault="006A055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559" w:rsidRDefault="006A055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559" w:rsidRDefault="006A0559">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FC9" w:rsidRPr="00117649" w:rsidRDefault="004E0FC9"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0344" w:rsidRDefault="00F70344">
      <w:r>
        <w:separator/>
      </w:r>
    </w:p>
  </w:footnote>
  <w:footnote w:type="continuationSeparator" w:id="0">
    <w:p w:rsidR="00F70344" w:rsidRDefault="00F703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559" w:rsidRDefault="006A055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559" w:rsidRDefault="006A055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559" w:rsidRDefault="006A0559">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FC9" w:rsidRDefault="004E0FC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1"/>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6861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046DEB"/>
    <w:rsid w:val="0000182C"/>
    <w:rsid w:val="00005184"/>
    <w:rsid w:val="000175D4"/>
    <w:rsid w:val="000178ED"/>
    <w:rsid w:val="00031324"/>
    <w:rsid w:val="0003654A"/>
    <w:rsid w:val="00044DD1"/>
    <w:rsid w:val="0004577C"/>
    <w:rsid w:val="00046DEB"/>
    <w:rsid w:val="00056463"/>
    <w:rsid w:val="000578C2"/>
    <w:rsid w:val="00070BC9"/>
    <w:rsid w:val="00086114"/>
    <w:rsid w:val="000960D7"/>
    <w:rsid w:val="000968E2"/>
    <w:rsid w:val="000A4DDE"/>
    <w:rsid w:val="000C46B8"/>
    <w:rsid w:val="000D0108"/>
    <w:rsid w:val="000D5AE1"/>
    <w:rsid w:val="000D7BBF"/>
    <w:rsid w:val="000E1773"/>
    <w:rsid w:val="000E567B"/>
    <w:rsid w:val="000F1970"/>
    <w:rsid w:val="000F3296"/>
    <w:rsid w:val="00102B00"/>
    <w:rsid w:val="00115B8C"/>
    <w:rsid w:val="00117649"/>
    <w:rsid w:val="00120E78"/>
    <w:rsid w:val="00120F6B"/>
    <w:rsid w:val="00125BE3"/>
    <w:rsid w:val="00130F61"/>
    <w:rsid w:val="00162ECD"/>
    <w:rsid w:val="0016580B"/>
    <w:rsid w:val="00171009"/>
    <w:rsid w:val="00174373"/>
    <w:rsid w:val="00181ED6"/>
    <w:rsid w:val="0018267D"/>
    <w:rsid w:val="0018412D"/>
    <w:rsid w:val="00195E02"/>
    <w:rsid w:val="001A3FFC"/>
    <w:rsid w:val="001A52AF"/>
    <w:rsid w:val="001B7E27"/>
    <w:rsid w:val="001C6E25"/>
    <w:rsid w:val="001D076F"/>
    <w:rsid w:val="001D1848"/>
    <w:rsid w:val="001D234C"/>
    <w:rsid w:val="001D3F0B"/>
    <w:rsid w:val="001E6B6D"/>
    <w:rsid w:val="001E782F"/>
    <w:rsid w:val="001F35D7"/>
    <w:rsid w:val="001F5751"/>
    <w:rsid w:val="00201B6C"/>
    <w:rsid w:val="00201DA1"/>
    <w:rsid w:val="00206DF8"/>
    <w:rsid w:val="00210BAB"/>
    <w:rsid w:val="002148DF"/>
    <w:rsid w:val="0021601C"/>
    <w:rsid w:val="00242709"/>
    <w:rsid w:val="00256DC2"/>
    <w:rsid w:val="0026727E"/>
    <w:rsid w:val="00267929"/>
    <w:rsid w:val="002710AC"/>
    <w:rsid w:val="00274FCD"/>
    <w:rsid w:val="00281336"/>
    <w:rsid w:val="00283C57"/>
    <w:rsid w:val="00284422"/>
    <w:rsid w:val="00286EAC"/>
    <w:rsid w:val="002A2D49"/>
    <w:rsid w:val="002B1234"/>
    <w:rsid w:val="002B7160"/>
    <w:rsid w:val="002D3C5A"/>
    <w:rsid w:val="002D7A49"/>
    <w:rsid w:val="002E2F74"/>
    <w:rsid w:val="003007A8"/>
    <w:rsid w:val="00301047"/>
    <w:rsid w:val="003050BA"/>
    <w:rsid w:val="00315F39"/>
    <w:rsid w:val="00327CAF"/>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A7BD5"/>
    <w:rsid w:val="004B628B"/>
    <w:rsid w:val="004B7357"/>
    <w:rsid w:val="004C4CFA"/>
    <w:rsid w:val="004D34B0"/>
    <w:rsid w:val="004D7D29"/>
    <w:rsid w:val="004E0FC9"/>
    <w:rsid w:val="004F0A5F"/>
    <w:rsid w:val="0050040F"/>
    <w:rsid w:val="00520693"/>
    <w:rsid w:val="00521184"/>
    <w:rsid w:val="00521D04"/>
    <w:rsid w:val="00525D6B"/>
    <w:rsid w:val="0054009F"/>
    <w:rsid w:val="00541776"/>
    <w:rsid w:val="005427F1"/>
    <w:rsid w:val="00561A8A"/>
    <w:rsid w:val="00564985"/>
    <w:rsid w:val="00587B82"/>
    <w:rsid w:val="0059148B"/>
    <w:rsid w:val="00592CFA"/>
    <w:rsid w:val="005A39DE"/>
    <w:rsid w:val="005A7A54"/>
    <w:rsid w:val="005B237F"/>
    <w:rsid w:val="005B7A24"/>
    <w:rsid w:val="005C1456"/>
    <w:rsid w:val="005C1B07"/>
    <w:rsid w:val="005C4132"/>
    <w:rsid w:val="005D2ECE"/>
    <w:rsid w:val="005E5E78"/>
    <w:rsid w:val="005F3F46"/>
    <w:rsid w:val="005F4FC1"/>
    <w:rsid w:val="0062577D"/>
    <w:rsid w:val="00647C24"/>
    <w:rsid w:val="006631A2"/>
    <w:rsid w:val="00665AF3"/>
    <w:rsid w:val="00667542"/>
    <w:rsid w:val="00672EB8"/>
    <w:rsid w:val="00676A70"/>
    <w:rsid w:val="00680FB5"/>
    <w:rsid w:val="00681F3B"/>
    <w:rsid w:val="00683584"/>
    <w:rsid w:val="00692190"/>
    <w:rsid w:val="006A0559"/>
    <w:rsid w:val="006A7F33"/>
    <w:rsid w:val="006B445C"/>
    <w:rsid w:val="006C47E2"/>
    <w:rsid w:val="006C5B02"/>
    <w:rsid w:val="006D7A0E"/>
    <w:rsid w:val="006E5F7B"/>
    <w:rsid w:val="006F0E21"/>
    <w:rsid w:val="00700843"/>
    <w:rsid w:val="00702FC1"/>
    <w:rsid w:val="00705B62"/>
    <w:rsid w:val="00717F00"/>
    <w:rsid w:val="00741185"/>
    <w:rsid w:val="0074131F"/>
    <w:rsid w:val="00742DE3"/>
    <w:rsid w:val="00765D41"/>
    <w:rsid w:val="00772F6F"/>
    <w:rsid w:val="007731F3"/>
    <w:rsid w:val="00774ABD"/>
    <w:rsid w:val="00776CDA"/>
    <w:rsid w:val="007A0446"/>
    <w:rsid w:val="007A1A27"/>
    <w:rsid w:val="007B2285"/>
    <w:rsid w:val="007C09A6"/>
    <w:rsid w:val="007C52E4"/>
    <w:rsid w:val="007D72E1"/>
    <w:rsid w:val="007E50CD"/>
    <w:rsid w:val="007E50D0"/>
    <w:rsid w:val="007F678B"/>
    <w:rsid w:val="007F7A33"/>
    <w:rsid w:val="008037EC"/>
    <w:rsid w:val="00810C71"/>
    <w:rsid w:val="00821277"/>
    <w:rsid w:val="008259A0"/>
    <w:rsid w:val="00825F2A"/>
    <w:rsid w:val="00827C92"/>
    <w:rsid w:val="008407F0"/>
    <w:rsid w:val="008455BA"/>
    <w:rsid w:val="00845A98"/>
    <w:rsid w:val="00854604"/>
    <w:rsid w:val="008556D9"/>
    <w:rsid w:val="00861990"/>
    <w:rsid w:val="008650D5"/>
    <w:rsid w:val="00865FDC"/>
    <w:rsid w:val="00867706"/>
    <w:rsid w:val="00875ED1"/>
    <w:rsid w:val="00880D71"/>
    <w:rsid w:val="0088535A"/>
    <w:rsid w:val="00885E30"/>
    <w:rsid w:val="008A2C3F"/>
    <w:rsid w:val="008A5646"/>
    <w:rsid w:val="008B118A"/>
    <w:rsid w:val="008D3D78"/>
    <w:rsid w:val="008D6C29"/>
    <w:rsid w:val="008E3B5C"/>
    <w:rsid w:val="008E7D1F"/>
    <w:rsid w:val="008F3D5A"/>
    <w:rsid w:val="00902398"/>
    <w:rsid w:val="00942265"/>
    <w:rsid w:val="00942547"/>
    <w:rsid w:val="00944B46"/>
    <w:rsid w:val="0095114D"/>
    <w:rsid w:val="00954509"/>
    <w:rsid w:val="00955302"/>
    <w:rsid w:val="0096478E"/>
    <w:rsid w:val="00966A16"/>
    <w:rsid w:val="00987392"/>
    <w:rsid w:val="009906F5"/>
    <w:rsid w:val="009A0E7A"/>
    <w:rsid w:val="009B7D57"/>
    <w:rsid w:val="009C10B0"/>
    <w:rsid w:val="009C45C1"/>
    <w:rsid w:val="009D38B9"/>
    <w:rsid w:val="009D4212"/>
    <w:rsid w:val="009D5F78"/>
    <w:rsid w:val="00A0079A"/>
    <w:rsid w:val="00A1146D"/>
    <w:rsid w:val="00A2247D"/>
    <w:rsid w:val="00A31B3E"/>
    <w:rsid w:val="00A43227"/>
    <w:rsid w:val="00A46ABF"/>
    <w:rsid w:val="00A52D2C"/>
    <w:rsid w:val="00A55F43"/>
    <w:rsid w:val="00A82E8F"/>
    <w:rsid w:val="00A90C12"/>
    <w:rsid w:val="00A90DCA"/>
    <w:rsid w:val="00A91834"/>
    <w:rsid w:val="00AA377C"/>
    <w:rsid w:val="00AB363D"/>
    <w:rsid w:val="00AF202E"/>
    <w:rsid w:val="00B00F6C"/>
    <w:rsid w:val="00B0669A"/>
    <w:rsid w:val="00B07BD5"/>
    <w:rsid w:val="00B176EC"/>
    <w:rsid w:val="00B17ED3"/>
    <w:rsid w:val="00B35C3E"/>
    <w:rsid w:val="00B36520"/>
    <w:rsid w:val="00B55E68"/>
    <w:rsid w:val="00B5616B"/>
    <w:rsid w:val="00B617FC"/>
    <w:rsid w:val="00B67FFC"/>
    <w:rsid w:val="00B730E7"/>
    <w:rsid w:val="00B8425D"/>
    <w:rsid w:val="00B84B9D"/>
    <w:rsid w:val="00BB42E0"/>
    <w:rsid w:val="00BC5D6F"/>
    <w:rsid w:val="00BC76F8"/>
    <w:rsid w:val="00BD37B0"/>
    <w:rsid w:val="00BD57B1"/>
    <w:rsid w:val="00BE0AAA"/>
    <w:rsid w:val="00BE5356"/>
    <w:rsid w:val="00BE744D"/>
    <w:rsid w:val="00BE775B"/>
    <w:rsid w:val="00BF2C15"/>
    <w:rsid w:val="00C06924"/>
    <w:rsid w:val="00C16499"/>
    <w:rsid w:val="00C203C7"/>
    <w:rsid w:val="00C24135"/>
    <w:rsid w:val="00C2517C"/>
    <w:rsid w:val="00C2775B"/>
    <w:rsid w:val="00C34429"/>
    <w:rsid w:val="00C35078"/>
    <w:rsid w:val="00C36DFB"/>
    <w:rsid w:val="00C430F6"/>
    <w:rsid w:val="00C43D6A"/>
    <w:rsid w:val="00C86821"/>
    <w:rsid w:val="00CA08F1"/>
    <w:rsid w:val="00CB4974"/>
    <w:rsid w:val="00CB4C7E"/>
    <w:rsid w:val="00CC1918"/>
    <w:rsid w:val="00CC4E6D"/>
    <w:rsid w:val="00CD49CC"/>
    <w:rsid w:val="00CD5C3F"/>
    <w:rsid w:val="00CE5409"/>
    <w:rsid w:val="00CF7EC1"/>
    <w:rsid w:val="00CF7F90"/>
    <w:rsid w:val="00D0403E"/>
    <w:rsid w:val="00D15DE5"/>
    <w:rsid w:val="00D20E52"/>
    <w:rsid w:val="00D36CA3"/>
    <w:rsid w:val="00D56D15"/>
    <w:rsid w:val="00D57FE6"/>
    <w:rsid w:val="00D61972"/>
    <w:rsid w:val="00D62818"/>
    <w:rsid w:val="00D669F9"/>
    <w:rsid w:val="00D73CA6"/>
    <w:rsid w:val="00D82E30"/>
    <w:rsid w:val="00D83333"/>
    <w:rsid w:val="00DA6393"/>
    <w:rsid w:val="00DA6C4A"/>
    <w:rsid w:val="00DB6AE7"/>
    <w:rsid w:val="00DC616D"/>
    <w:rsid w:val="00DC7C36"/>
    <w:rsid w:val="00DD46A9"/>
    <w:rsid w:val="00DE0E57"/>
    <w:rsid w:val="00E30EC6"/>
    <w:rsid w:val="00E365B4"/>
    <w:rsid w:val="00E505BD"/>
    <w:rsid w:val="00E52D6E"/>
    <w:rsid w:val="00E6297B"/>
    <w:rsid w:val="00E80488"/>
    <w:rsid w:val="00E956EA"/>
    <w:rsid w:val="00EA5D73"/>
    <w:rsid w:val="00EC257E"/>
    <w:rsid w:val="00EE261A"/>
    <w:rsid w:val="00EE296B"/>
    <w:rsid w:val="00EF7390"/>
    <w:rsid w:val="00F0149C"/>
    <w:rsid w:val="00F202B5"/>
    <w:rsid w:val="00F325AE"/>
    <w:rsid w:val="00F3785A"/>
    <w:rsid w:val="00F41A9F"/>
    <w:rsid w:val="00F42B3F"/>
    <w:rsid w:val="00F70344"/>
    <w:rsid w:val="00F70618"/>
    <w:rsid w:val="00F71BD0"/>
    <w:rsid w:val="00F71F08"/>
    <w:rsid w:val="00F74365"/>
    <w:rsid w:val="00F7448A"/>
    <w:rsid w:val="00F75529"/>
    <w:rsid w:val="00F802DB"/>
    <w:rsid w:val="00F82DDC"/>
    <w:rsid w:val="00F85E76"/>
    <w:rsid w:val="00F908A7"/>
    <w:rsid w:val="00F913EA"/>
    <w:rsid w:val="00FD2879"/>
    <w:rsid w:val="00FF41D2"/>
    <w:rsid w:val="00FF58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861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link w:val="Header3Char"/>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210BAB"/>
    <w:pPr>
      <w:jc w:val="right"/>
    </w:pPr>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D56D15"/>
    <w:pPr>
      <w:tabs>
        <w:tab w:val="left" w:pos="2430"/>
      </w:tabs>
      <w:jc w:val="left"/>
    </w:pPr>
    <w:rPr>
      <w:color w:val="auto"/>
      <w:sz w:val="20"/>
    </w:rPr>
  </w:style>
  <w:style w:type="character" w:customStyle="1" w:styleId="BodytextChar0">
    <w:name w:val="Body text Char"/>
    <w:basedOn w:val="BodyTextChar"/>
    <w:link w:val="Bodytext0"/>
    <w:rsid w:val="00D56D15"/>
  </w:style>
  <w:style w:type="character" w:customStyle="1" w:styleId="Header3Char">
    <w:name w:val="Header 3 Char"/>
    <w:basedOn w:val="DefaultParagraphFont"/>
    <w:link w:val="Header3"/>
    <w:rsid w:val="00D56D15"/>
    <w:rPr>
      <w:b/>
      <w:bCs/>
    </w:rPr>
  </w:style>
  <w:style w:type="character" w:styleId="CommentReference">
    <w:name w:val="annotation reference"/>
    <w:basedOn w:val="DefaultParagraphFont"/>
    <w:semiHidden/>
    <w:unhideWhenUsed/>
    <w:rsid w:val="000D7BBF"/>
    <w:rPr>
      <w:sz w:val="16"/>
      <w:szCs w:val="16"/>
    </w:rPr>
  </w:style>
  <w:style w:type="paragraph" w:styleId="CommentText">
    <w:name w:val="annotation text"/>
    <w:basedOn w:val="Normal"/>
    <w:link w:val="CommentTextChar"/>
    <w:semiHidden/>
    <w:unhideWhenUsed/>
    <w:rsid w:val="000D7BBF"/>
    <w:rPr>
      <w:sz w:val="20"/>
    </w:rPr>
  </w:style>
  <w:style w:type="character" w:customStyle="1" w:styleId="CommentTextChar">
    <w:name w:val="Comment Text Char"/>
    <w:basedOn w:val="DefaultParagraphFont"/>
    <w:link w:val="CommentText"/>
    <w:semiHidden/>
    <w:rsid w:val="000D7BBF"/>
  </w:style>
  <w:style w:type="paragraph" w:styleId="CommentSubject">
    <w:name w:val="annotation subject"/>
    <w:basedOn w:val="CommentText"/>
    <w:next w:val="CommentText"/>
    <w:link w:val="CommentSubjectChar"/>
    <w:semiHidden/>
    <w:unhideWhenUsed/>
    <w:rsid w:val="000D7BBF"/>
    <w:rPr>
      <w:b/>
      <w:bCs/>
    </w:rPr>
  </w:style>
  <w:style w:type="character" w:customStyle="1" w:styleId="CommentSubjectChar">
    <w:name w:val="Comment Subject Char"/>
    <w:basedOn w:val="CommentTextChar"/>
    <w:link w:val="CommentSubject"/>
    <w:semiHidden/>
    <w:rsid w:val="000D7BBF"/>
    <w:rPr>
      <w:b/>
      <w:bCs/>
    </w:rPr>
  </w:style>
  <w:style w:type="character" w:customStyle="1" w:styleId="A4">
    <w:name w:val="A4"/>
    <w:uiPriority w:val="99"/>
    <w:rsid w:val="000D7BBF"/>
    <w:rPr>
      <w:rFonts w:cs="ITCCentury Book"/>
      <w:color w:val="221E1F"/>
      <w:sz w:val="16"/>
      <w:szCs w:val="16"/>
    </w:rPr>
  </w:style>
  <w:style w:type="character" w:customStyle="1" w:styleId="A6">
    <w:name w:val="A6"/>
    <w:uiPriority w:val="99"/>
    <w:rsid w:val="000D7BBF"/>
    <w:rPr>
      <w:rFonts w:cs="ITCCentury Book"/>
      <w:color w:val="221E1F"/>
      <w:sz w:val="18"/>
      <w:szCs w:val="18"/>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en.wikipedia.org/wiki/Crop_yield" TargetMode="External"/><Relationship Id="rId26" Type="http://schemas.openxmlformats.org/officeDocument/2006/relationships/hyperlink" Target="http://plants.usda.gov/" TargetMode="External"/><Relationship Id="rId3" Type="http://schemas.openxmlformats.org/officeDocument/2006/relationships/styles" Target="styles.xml"/><Relationship Id="rId21" Type="http://schemas.openxmlformats.org/officeDocument/2006/relationships/hyperlink" Target="http://en.wikipedia.org/wiki/Thermal_energy"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en.wikipedia.org/wiki/Grass" TargetMode="External"/><Relationship Id="rId25" Type="http://schemas.openxmlformats.org/officeDocument/2006/relationships/hyperlink" Target="http://www.nrcs.usda.gov/" TargetMode="External"/><Relationship Id="rId2" Type="http://schemas.openxmlformats.org/officeDocument/2006/relationships/numbering" Target="numbering.xml"/><Relationship Id="rId16" Type="http://schemas.openxmlformats.org/officeDocument/2006/relationships/hyperlink" Target="http://en.wikipedia.org/wiki/Perennial" TargetMode="External"/><Relationship Id="rId20" Type="http://schemas.openxmlformats.org/officeDocument/2006/relationships/hyperlink" Target="http://en.wikipedia.org/wiki/Biogas"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plant-materials.nrcs.usda.gov/pubs/NPMtechnotes/npmptn3-13079.pdf"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3.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en.wikipedia.org/wiki/Cellulosic_ethano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yperlink" Target="http://plants.usda.gov/" TargetMode="External"/><Relationship Id="rId27" Type="http://schemas.openxmlformats.org/officeDocument/2006/relationships/hyperlink" Target="http://plant-materials.nrcs.usda.gov"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amona.Garner\Local%20Settings\Temporary%20Internet%20Files\Content.Outlook\JHXFODA6\Switchgrass%20FACT%20SHEET%20TEMPLATE%20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Switchgrass FACT SHEET TEMPLATE doc.dotx</Template>
  <TotalTime>2</TotalTime>
  <Pages>2</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Switchgrass, Panicum virgatum L .Plant Fact Sheet </vt:lpstr>
    </vt:vector>
  </TitlesOfParts>
  <Company>USDA NRCS National Plant Materials Center</Company>
  <LinksUpToDate>false</LinksUpToDate>
  <CharactersWithSpaces>7957</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Switchgrass, Panicum virgatum L .Plant Fact Sheet </dc:title>
  <dc:subject>Switchgrass, Panicum virgatum L.,is a native perennial warm-season grass. Uses include livestock, erosion control, wildlife and biofuel.</dc:subject>
  <dc:creator>Mike Owsley</dc:creator>
  <cp:keywords>Plant Fact Sheet, NRCS, Plant Materials Program, switchgrass, Panicum virgatum, warm-season grass, perennial, native, livestock, forage, wildlife, erosion control, biofuel</cp:keywords>
  <cp:lastModifiedBy>Ramona.Garner</cp:lastModifiedBy>
  <cp:revision>2</cp:revision>
  <cp:lastPrinted>2011-02-11T18:12:00Z</cp:lastPrinted>
  <dcterms:created xsi:type="dcterms:W3CDTF">2011-02-16T13:11:00Z</dcterms:created>
  <dcterms:modified xsi:type="dcterms:W3CDTF">2011-02-16T13:11:00Z</dcterms:modified>
</cp:coreProperties>
</file>