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C510E" w:rsidP="000578C2">
            <w:pPr>
              <w:pStyle w:val="TitleHeader"/>
              <w:rPr>
                <w:i/>
              </w:rPr>
            </w:pPr>
            <w:r>
              <w:lastRenderedPageBreak/>
              <w:t>PACIFIC NINEBARK</w:t>
            </w:r>
          </w:p>
        </w:tc>
      </w:tr>
      <w:tr w:rsidR="00CD49CC">
        <w:tblPrEx>
          <w:tblCellMar>
            <w:top w:w="0" w:type="dxa"/>
            <w:bottom w:w="0" w:type="dxa"/>
          </w:tblCellMar>
        </w:tblPrEx>
        <w:tc>
          <w:tcPr>
            <w:tcW w:w="4410" w:type="dxa"/>
          </w:tcPr>
          <w:p w:rsidR="00CD49CC" w:rsidRPr="008F3D5A" w:rsidRDefault="002C510E" w:rsidP="008F3D5A">
            <w:pPr>
              <w:pStyle w:val="Titlesubheader1"/>
              <w:rPr>
                <w:i/>
              </w:rPr>
            </w:pPr>
            <w:r>
              <w:rPr>
                <w:i/>
              </w:rPr>
              <w:t>Physocarpus capitatus</w:t>
            </w:r>
            <w:r w:rsidR="000F1970" w:rsidRPr="008F3D5A">
              <w:t xml:space="preserve"> </w:t>
            </w:r>
            <w:r>
              <w:t>(Pursh) Kuntze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2C510E">
              <w:t>PHCA11</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Name">
        <w:r w:rsidR="002C510E">
          <w:t>USDA</w:t>
        </w:r>
      </w:smartTag>
      <w:r w:rsidR="002C510E">
        <w:t xml:space="preserve"> </w:t>
      </w:r>
      <w:smartTag w:uri="urn:schemas-microsoft-com:office:smarttags" w:element="PlaceName">
        <w:r w:rsidR="002C510E">
          <w:t>NRCS</w:t>
        </w:r>
      </w:smartTag>
      <w:r w:rsidR="002C510E">
        <w:t xml:space="preserve"> </w:t>
      </w:r>
      <w:smartTag w:uri="urn:schemas-microsoft-com:office:smarttags" w:element="PlaceName">
        <w:r w:rsidR="002C510E">
          <w:t>Plant</w:t>
        </w:r>
      </w:smartTag>
      <w:r w:rsidR="002C510E">
        <w:t xml:space="preserve"> </w:t>
      </w:r>
      <w:smartTag w:uri="urn:schemas-microsoft-com:office:smarttags" w:element="PlaceName">
        <w:r w:rsidR="002C510E">
          <w:t>Materials</w:t>
        </w:r>
      </w:smartTag>
      <w:r w:rsidR="002C510E">
        <w:t xml:space="preserve"> </w:t>
      </w:r>
      <w:smartTag w:uri="urn:schemas-microsoft-com:office:smarttags" w:element="PlaceType">
        <w:r w:rsidR="002C510E">
          <w:t>Center</w:t>
        </w:r>
      </w:smartTag>
      <w:r w:rsidR="002C510E">
        <w:t xml:space="preserve">, </w:t>
      </w:r>
      <w:smartTag w:uri="urn:schemas-microsoft-com:office:smarttags" w:element="place">
        <w:smartTag w:uri="urn:schemas-microsoft-com:office:smarttags" w:element="City">
          <w:r w:rsidR="002C510E">
            <w:t>Corvallis</w:t>
          </w:r>
        </w:smartTag>
        <w:r w:rsidR="002C510E">
          <w:t xml:space="preserve">, </w:t>
        </w:r>
        <w:smartTag w:uri="urn:schemas-microsoft-com:office:smarttags" w:element="State">
          <w:r w:rsidR="002C510E">
            <w:t>Oregon</w:t>
          </w:r>
        </w:smartTag>
      </w:smartTag>
    </w:p>
    <w:p w:rsidR="004F0A5F" w:rsidRPr="003631C1" w:rsidRDefault="004F0A5F" w:rsidP="00F802DB">
      <w:pPr>
        <w:pStyle w:val="Header2"/>
        <w:rPr>
          <w:i w:val="0"/>
        </w:rPr>
      </w:pPr>
    </w:p>
    <w:p w:rsidR="00AB5C79" w:rsidRDefault="005810F1" w:rsidP="00AB5C79">
      <w:pPr>
        <w:pStyle w:val="Header2"/>
        <w:jc w:val="center"/>
        <w:rPr>
          <w:i w:val="0"/>
          <w:sz w:val="16"/>
          <w:szCs w:val="16"/>
        </w:rPr>
      </w:pPr>
      <w:r>
        <w:rPr>
          <w:i w:val="0"/>
          <w:noProof/>
          <w:sz w:val="16"/>
          <w:szCs w:val="16"/>
        </w:rPr>
        <w:drawing>
          <wp:inline distT="0" distB="0" distL="0" distR="0">
            <wp:extent cx="1828800" cy="2743200"/>
            <wp:effectExtent l="19050" t="0" r="0" b="0"/>
            <wp:docPr id="1" name="Picture 1" descr="phca11 image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ca11 image small"/>
                    <pic:cNvPicPr>
                      <a:picLocks noChangeAspect="1" noChangeArrowheads="1"/>
                    </pic:cNvPicPr>
                  </pic:nvPicPr>
                  <pic:blipFill>
                    <a:blip r:embed="rId8" cstate="print"/>
                    <a:srcRect/>
                    <a:stretch>
                      <a:fillRect/>
                    </a:stretch>
                  </pic:blipFill>
                  <pic:spPr bwMode="auto">
                    <a:xfrm>
                      <a:off x="0" y="0"/>
                      <a:ext cx="1828800" cy="2743200"/>
                    </a:xfrm>
                    <a:prstGeom prst="rect">
                      <a:avLst/>
                    </a:prstGeom>
                    <a:noFill/>
                    <a:ln w="9525">
                      <a:noFill/>
                      <a:miter lim="800000"/>
                      <a:headEnd/>
                      <a:tailEnd/>
                    </a:ln>
                  </pic:spPr>
                </pic:pic>
              </a:graphicData>
            </a:graphic>
          </wp:inline>
        </w:drawing>
      </w:r>
    </w:p>
    <w:p w:rsidR="00EF7390" w:rsidRPr="001A1449" w:rsidRDefault="000A0003" w:rsidP="000A0003">
      <w:pPr>
        <w:pStyle w:val="Header2"/>
        <w:jc w:val="right"/>
        <w:rPr>
          <w:i w:val="0"/>
          <w:sz w:val="16"/>
          <w:szCs w:val="16"/>
        </w:rPr>
      </w:pPr>
      <w:r w:rsidRPr="001A1449">
        <w:rPr>
          <w:i w:val="0"/>
          <w:sz w:val="16"/>
          <w:szCs w:val="16"/>
        </w:rPr>
        <w:t>© 2003 Hartmut Wisch</w:t>
      </w:r>
    </w:p>
    <w:p w:rsidR="00CD49CC" w:rsidRPr="000150E3" w:rsidRDefault="00CD49CC" w:rsidP="003631C1">
      <w:pPr>
        <w:jc w:val="left"/>
        <w:rPr>
          <w:sz w:val="20"/>
        </w:rPr>
      </w:pPr>
    </w:p>
    <w:p w:rsidR="00CD49CC" w:rsidRPr="000150E3" w:rsidRDefault="008455BA" w:rsidP="008455BA">
      <w:pPr>
        <w:pStyle w:val="Header3"/>
        <w:rPr>
          <w:b w:val="0"/>
        </w:rPr>
      </w:pPr>
      <w:r w:rsidRPr="000150E3">
        <w:t>Alternate Names</w:t>
      </w:r>
      <w:r w:rsidR="00AA14C2" w:rsidRPr="000150E3">
        <w:t>:</w:t>
      </w:r>
      <w:r w:rsidR="00AA14C2" w:rsidRPr="000150E3">
        <w:rPr>
          <w:b w:val="0"/>
        </w:rPr>
        <w:t xml:space="preserve"> Also known as </w:t>
      </w:r>
      <w:r w:rsidR="00AA14C2" w:rsidRPr="000150E3">
        <w:rPr>
          <w:rStyle w:val="Emphasis"/>
          <w:b w:val="0"/>
          <w:color w:val="000000"/>
        </w:rPr>
        <w:t>Physocarpus</w:t>
      </w:r>
      <w:r w:rsidR="00AA14C2" w:rsidRPr="000150E3">
        <w:rPr>
          <w:b w:val="0"/>
          <w:color w:val="000000"/>
        </w:rPr>
        <w:t xml:space="preserve"> </w:t>
      </w:r>
      <w:r w:rsidR="00AA14C2" w:rsidRPr="000150E3">
        <w:rPr>
          <w:rStyle w:val="Emphasis"/>
          <w:b w:val="0"/>
          <w:color w:val="000000"/>
        </w:rPr>
        <w:t>opulifolius</w:t>
      </w:r>
      <w:r w:rsidR="00AA14C2" w:rsidRPr="000150E3">
        <w:rPr>
          <w:b w:val="0"/>
          <w:color w:val="000000"/>
        </w:rPr>
        <w:t xml:space="preserve"> (L.) Maxim. var. </w:t>
      </w:r>
      <w:r w:rsidR="00AA14C2" w:rsidRPr="000150E3">
        <w:rPr>
          <w:rStyle w:val="Emphasis"/>
          <w:b w:val="0"/>
          <w:color w:val="000000"/>
        </w:rPr>
        <w:t>tomentellus</w:t>
      </w:r>
      <w:r w:rsidR="00AA14C2" w:rsidRPr="000150E3">
        <w:rPr>
          <w:b w:val="0"/>
          <w:color w:val="000000"/>
        </w:rPr>
        <w:t xml:space="preserve"> (Ser.) Boivin and </w:t>
      </w:r>
      <w:r w:rsidR="00AA14C2" w:rsidRPr="000150E3">
        <w:rPr>
          <w:b w:val="0"/>
          <w:i/>
          <w:color w:val="000000"/>
        </w:rPr>
        <w:t>Spiraea capitatus</w:t>
      </w:r>
      <w:r w:rsidR="00AA14C2" w:rsidRPr="000150E3">
        <w:rPr>
          <w:b w:val="0"/>
          <w:color w:val="000000"/>
        </w:rPr>
        <w:t xml:space="preserve"> Kursh.</w:t>
      </w:r>
    </w:p>
    <w:p w:rsidR="00CD49CC" w:rsidRPr="000150E3" w:rsidRDefault="00CD49CC" w:rsidP="003631C1">
      <w:pPr>
        <w:tabs>
          <w:tab w:val="left" w:pos="2430"/>
        </w:tabs>
        <w:jc w:val="left"/>
        <w:rPr>
          <w:sz w:val="20"/>
        </w:rPr>
      </w:pPr>
    </w:p>
    <w:p w:rsidR="00CD49CC" w:rsidRPr="000150E3" w:rsidRDefault="00CD49CC" w:rsidP="008455BA">
      <w:pPr>
        <w:pStyle w:val="Header3"/>
        <w:rPr>
          <w:b w:val="0"/>
        </w:rPr>
      </w:pPr>
      <w:r w:rsidRPr="000150E3">
        <w:t>Uses</w:t>
      </w:r>
      <w:r w:rsidR="00AA14C2" w:rsidRPr="000150E3">
        <w:t>:</w:t>
      </w:r>
      <w:r w:rsidR="00AA14C2" w:rsidRPr="000150E3">
        <w:rPr>
          <w:b w:val="0"/>
        </w:rPr>
        <w:t xml:space="preserve"> Pacific ninebark’s fibrous roots and capacity to root from un-rooted cuttings make it </w:t>
      </w:r>
      <w:r w:rsidR="00005258">
        <w:rPr>
          <w:b w:val="0"/>
        </w:rPr>
        <w:t>suitable</w:t>
      </w:r>
      <w:r w:rsidR="00AA14C2" w:rsidRPr="000150E3">
        <w:rPr>
          <w:b w:val="0"/>
        </w:rPr>
        <w:t xml:space="preserve"> for</w:t>
      </w:r>
      <w:r w:rsidR="00E057E4" w:rsidRPr="000150E3">
        <w:rPr>
          <w:b w:val="0"/>
        </w:rPr>
        <w:t xml:space="preserve"> soil bioengineering techniques </w:t>
      </w:r>
      <w:r w:rsidR="00AA14C2" w:rsidRPr="000150E3">
        <w:rPr>
          <w:b w:val="0"/>
        </w:rPr>
        <w:t>including live stakes, fascines and brush mats.</w:t>
      </w:r>
      <w:r w:rsidR="00E057E4" w:rsidRPr="000150E3">
        <w:rPr>
          <w:b w:val="0"/>
        </w:rPr>
        <w:t xml:space="preserve"> </w:t>
      </w:r>
      <w:r w:rsidR="00AA14C2" w:rsidRPr="000150E3">
        <w:rPr>
          <w:b w:val="0"/>
        </w:rPr>
        <w:t xml:space="preserve"> It is particularly valuable for streambank and lakeshore stabilization applications. </w:t>
      </w:r>
      <w:r w:rsidR="00E057E4" w:rsidRPr="000150E3">
        <w:rPr>
          <w:b w:val="0"/>
        </w:rPr>
        <w:t xml:space="preserve"> </w:t>
      </w:r>
      <w:r w:rsidR="00AA14C2" w:rsidRPr="000150E3">
        <w:rPr>
          <w:b w:val="0"/>
        </w:rPr>
        <w:t xml:space="preserve">Pacific ninebark provides good cover and nesting sites for birds and small mammals but has low palatability when browsed by deer, elk and bear. </w:t>
      </w:r>
      <w:r w:rsidR="00E057E4" w:rsidRPr="000150E3">
        <w:rPr>
          <w:b w:val="0"/>
        </w:rPr>
        <w:t xml:space="preserve"> </w:t>
      </w:r>
      <w:r w:rsidR="00AA14C2" w:rsidRPr="000150E3">
        <w:rPr>
          <w:b w:val="0"/>
        </w:rPr>
        <w:t>It has ornamental value for the wild garden or open woodland.</w:t>
      </w:r>
      <w:r w:rsidR="00E057E4" w:rsidRPr="000150E3">
        <w:rPr>
          <w:b w:val="0"/>
        </w:rPr>
        <w:t xml:space="preserve"> </w:t>
      </w:r>
      <w:r w:rsidR="00AA14C2" w:rsidRPr="000150E3">
        <w:rPr>
          <w:b w:val="0"/>
        </w:rPr>
        <w:t xml:space="preserve"> Although considered toxic by some, Pacific ninebark was used as an emetic, purgative and laxative by Native Americans.</w:t>
      </w:r>
    </w:p>
    <w:p w:rsidR="00CD49CC" w:rsidRPr="000150E3" w:rsidRDefault="00CD49CC" w:rsidP="003631C1">
      <w:pPr>
        <w:tabs>
          <w:tab w:val="left" w:pos="2430"/>
        </w:tabs>
        <w:jc w:val="left"/>
        <w:rPr>
          <w:sz w:val="20"/>
        </w:rPr>
      </w:pPr>
    </w:p>
    <w:p w:rsidR="00CD49CC" w:rsidRPr="000150E3" w:rsidRDefault="001D78F7" w:rsidP="002B3E3F">
      <w:pPr>
        <w:pStyle w:val="Header3"/>
        <w:rPr>
          <w:b w:val="0"/>
        </w:rPr>
      </w:pPr>
      <w:r>
        <w:t xml:space="preserve">Legal </w:t>
      </w:r>
      <w:r w:rsidR="00CD49CC" w:rsidRPr="000150E3">
        <w:t>Status</w:t>
      </w:r>
      <w:r w:rsidR="00E057E4" w:rsidRPr="000150E3">
        <w:t>:</w:t>
      </w:r>
      <w:r w:rsidR="002B3E3F" w:rsidRPr="000150E3">
        <w:t xml:space="preserve"> </w:t>
      </w:r>
      <w:r w:rsidR="00CD49CC" w:rsidRPr="000150E3">
        <w:rPr>
          <w:b w:val="0"/>
        </w:rPr>
        <w:t xml:space="preserve">Please consult the PLANTS Web site and your State Department of Natural Resources for this plant’s current status (e.g. threatened or </w:t>
      </w:r>
      <w:r w:rsidR="00CD49CC" w:rsidRPr="000150E3">
        <w:rPr>
          <w:b w:val="0"/>
        </w:rPr>
        <w:lastRenderedPageBreak/>
        <w:t>endangered species, state noxious status, and wetland indicator values).</w:t>
      </w:r>
    </w:p>
    <w:p w:rsidR="00CD49CC" w:rsidRPr="000150E3" w:rsidRDefault="00CD49CC" w:rsidP="003631C1">
      <w:pPr>
        <w:tabs>
          <w:tab w:val="left" w:pos="2430"/>
        </w:tabs>
        <w:jc w:val="left"/>
        <w:rPr>
          <w:b/>
          <w:sz w:val="20"/>
        </w:rPr>
      </w:pPr>
    </w:p>
    <w:p w:rsidR="00AA14C2" w:rsidRPr="000150E3" w:rsidRDefault="00CD49CC" w:rsidP="002B3E3F">
      <w:pPr>
        <w:jc w:val="left"/>
        <w:rPr>
          <w:sz w:val="20"/>
        </w:rPr>
      </w:pPr>
      <w:r w:rsidRPr="000150E3">
        <w:rPr>
          <w:b/>
          <w:sz w:val="20"/>
        </w:rPr>
        <w:t>Description</w:t>
      </w:r>
      <w:r w:rsidR="00AA14C2" w:rsidRPr="000150E3">
        <w:rPr>
          <w:b/>
          <w:sz w:val="20"/>
        </w:rPr>
        <w:t xml:space="preserve">: </w:t>
      </w:r>
      <w:r w:rsidR="00AA14C2" w:rsidRPr="000150E3">
        <w:rPr>
          <w:sz w:val="20"/>
        </w:rPr>
        <w:t xml:space="preserve">Pacific ninebark is a long-lived perennial shrub of the Rose family native to the </w:t>
      </w:r>
      <w:smartTag w:uri="urn:schemas-microsoft-com:office:smarttags" w:element="place">
        <w:r w:rsidR="00AA14C2" w:rsidRPr="000150E3">
          <w:rPr>
            <w:sz w:val="20"/>
          </w:rPr>
          <w:t>Pacific Northwest</w:t>
        </w:r>
      </w:smartTag>
      <w:r w:rsidR="00AA14C2" w:rsidRPr="000150E3">
        <w:rPr>
          <w:sz w:val="20"/>
        </w:rPr>
        <w:t xml:space="preserve">. </w:t>
      </w:r>
      <w:r w:rsidR="00E057E4" w:rsidRPr="000150E3">
        <w:rPr>
          <w:sz w:val="20"/>
        </w:rPr>
        <w:t xml:space="preserve"> </w:t>
      </w:r>
      <w:r w:rsidR="00AA14C2" w:rsidRPr="000150E3">
        <w:rPr>
          <w:sz w:val="20"/>
        </w:rPr>
        <w:t>It grows rapidly with multiple stems achieving 2 to 4 meters in an erect to arching form with angled branches.</w:t>
      </w:r>
      <w:r w:rsidR="00E057E4" w:rsidRPr="000150E3">
        <w:rPr>
          <w:sz w:val="20"/>
        </w:rPr>
        <w:t xml:space="preserve"> </w:t>
      </w:r>
      <w:r w:rsidR="00AA14C2" w:rsidRPr="000150E3">
        <w:rPr>
          <w:sz w:val="20"/>
        </w:rPr>
        <w:t xml:space="preserve"> The reddish papery bark peels off in long thin layers giving rise to the common name. </w:t>
      </w:r>
      <w:r w:rsidR="00C0728C" w:rsidRPr="000150E3">
        <w:rPr>
          <w:sz w:val="20"/>
        </w:rPr>
        <w:t xml:space="preserve"> </w:t>
      </w:r>
      <w:r w:rsidR="00AA14C2" w:rsidRPr="000150E3">
        <w:rPr>
          <w:sz w:val="20"/>
        </w:rPr>
        <w:t xml:space="preserve">Deciduous leaves that appear alternately along the stem are 3-10 cm long, 3-5 lobed and doubly toothed at the margin. </w:t>
      </w:r>
      <w:r w:rsidR="00E057E4" w:rsidRPr="000150E3">
        <w:rPr>
          <w:sz w:val="20"/>
        </w:rPr>
        <w:t xml:space="preserve"> </w:t>
      </w:r>
      <w:r w:rsidR="00AA14C2" w:rsidRPr="000150E3">
        <w:rPr>
          <w:sz w:val="20"/>
        </w:rPr>
        <w:t xml:space="preserve">They are deeply veined, shiny dark green above and lighter beneath with fine star-shaped hairs. </w:t>
      </w:r>
      <w:r w:rsidR="00E057E4" w:rsidRPr="000150E3">
        <w:rPr>
          <w:sz w:val="20"/>
        </w:rPr>
        <w:t xml:space="preserve"> </w:t>
      </w:r>
      <w:r w:rsidR="00AA14C2" w:rsidRPr="000150E3">
        <w:rPr>
          <w:sz w:val="20"/>
        </w:rPr>
        <w:t xml:space="preserve">Fall color is described as rose-brown. Small (4 mm wide), 5-petaled creamy white flowers with pink stamens form dense rounded clusters at the branch terminals. </w:t>
      </w:r>
      <w:r w:rsidR="00E057E4" w:rsidRPr="000150E3">
        <w:rPr>
          <w:sz w:val="20"/>
        </w:rPr>
        <w:t xml:space="preserve"> </w:t>
      </w:r>
      <w:r w:rsidR="00AA14C2" w:rsidRPr="000150E3">
        <w:rPr>
          <w:sz w:val="20"/>
        </w:rPr>
        <w:t xml:space="preserve">Flowers appear between late April and July. </w:t>
      </w:r>
      <w:r w:rsidR="00E057E4" w:rsidRPr="000150E3">
        <w:rPr>
          <w:sz w:val="20"/>
        </w:rPr>
        <w:t xml:space="preserve"> </w:t>
      </w:r>
      <w:r w:rsidR="00AA14C2" w:rsidRPr="000150E3">
        <w:rPr>
          <w:sz w:val="20"/>
        </w:rPr>
        <w:t>One to four hard shiny pear-shaped yellow seeds form within small fruits that are individually surrounded by dark reddish brown, bell-shaped bracts</w:t>
      </w:r>
      <w:r w:rsidR="000E6FC4">
        <w:rPr>
          <w:sz w:val="20"/>
        </w:rPr>
        <w:t>.</w:t>
      </w:r>
      <w:r w:rsidR="00AA14C2" w:rsidRPr="000150E3">
        <w:rPr>
          <w:sz w:val="20"/>
        </w:rPr>
        <w:t xml:space="preserve"> </w:t>
      </w:r>
      <w:r w:rsidR="000E6FC4">
        <w:rPr>
          <w:sz w:val="20"/>
        </w:rPr>
        <w:t xml:space="preserve"> These bracts</w:t>
      </w:r>
      <w:r w:rsidR="00AA14C2" w:rsidRPr="000150E3">
        <w:rPr>
          <w:sz w:val="20"/>
        </w:rPr>
        <w:t xml:space="preserve"> often persist during winter. </w:t>
      </w:r>
      <w:r w:rsidR="00E057E4" w:rsidRPr="000150E3">
        <w:rPr>
          <w:sz w:val="20"/>
        </w:rPr>
        <w:t xml:space="preserve"> </w:t>
      </w:r>
      <w:r w:rsidR="00C0728C" w:rsidRPr="000150E3">
        <w:rPr>
          <w:sz w:val="20"/>
        </w:rPr>
        <w:t>For a current distribution map, please consult the Plant Profile page for this species on the PLANTS Web site.</w:t>
      </w:r>
    </w:p>
    <w:p w:rsidR="00C0728C" w:rsidRPr="000150E3" w:rsidRDefault="00C0728C" w:rsidP="002B3E3F">
      <w:pPr>
        <w:jc w:val="left"/>
        <w:rPr>
          <w:sz w:val="20"/>
        </w:rPr>
      </w:pPr>
    </w:p>
    <w:p w:rsidR="002B3E3F" w:rsidRDefault="008C7306" w:rsidP="002B3E3F">
      <w:pPr>
        <w:jc w:val="left"/>
        <w:rPr>
          <w:sz w:val="20"/>
        </w:rPr>
      </w:pPr>
      <w:r w:rsidRPr="000150E3">
        <w:rPr>
          <w:b/>
          <w:sz w:val="20"/>
        </w:rPr>
        <w:t>Adaptation</w:t>
      </w:r>
      <w:r w:rsidR="00006D20" w:rsidRPr="000150E3">
        <w:rPr>
          <w:b/>
          <w:sz w:val="20"/>
        </w:rPr>
        <w:t xml:space="preserve"> and Distribution</w:t>
      </w:r>
      <w:r w:rsidRPr="000150E3">
        <w:rPr>
          <w:b/>
          <w:sz w:val="20"/>
        </w:rPr>
        <w:t>:</w:t>
      </w:r>
      <w:r w:rsidRPr="000150E3">
        <w:rPr>
          <w:sz w:val="20"/>
        </w:rPr>
        <w:t xml:space="preserve"> </w:t>
      </w:r>
      <w:r w:rsidR="002B3E3F" w:rsidRPr="000150E3">
        <w:rPr>
          <w:sz w:val="20"/>
        </w:rPr>
        <w:t>Pacific ninebark prefers partial shade but tolerates full sun and is adapted to course</w:t>
      </w:r>
      <w:r w:rsidR="000E6FC4">
        <w:rPr>
          <w:sz w:val="20"/>
        </w:rPr>
        <w:t>,</w:t>
      </w:r>
      <w:r w:rsidR="002B3E3F" w:rsidRPr="000150E3">
        <w:rPr>
          <w:sz w:val="20"/>
        </w:rPr>
        <w:t xml:space="preserve"> medium </w:t>
      </w:r>
      <w:r w:rsidR="000E6FC4" w:rsidRPr="000150E3">
        <w:rPr>
          <w:sz w:val="20"/>
        </w:rPr>
        <w:t xml:space="preserve">and </w:t>
      </w:r>
      <w:r w:rsidR="000E6FC4">
        <w:rPr>
          <w:sz w:val="20"/>
        </w:rPr>
        <w:t xml:space="preserve">fine </w:t>
      </w:r>
      <w:r w:rsidR="002B3E3F" w:rsidRPr="000150E3">
        <w:rPr>
          <w:sz w:val="20"/>
        </w:rPr>
        <w:t>textured slightly acidic soils.</w:t>
      </w:r>
      <w:r w:rsidR="00B57853" w:rsidRPr="000150E3">
        <w:rPr>
          <w:sz w:val="20"/>
        </w:rPr>
        <w:t xml:space="preserve"> </w:t>
      </w:r>
      <w:r w:rsidR="002B3E3F" w:rsidRPr="000150E3">
        <w:rPr>
          <w:sz w:val="20"/>
        </w:rPr>
        <w:t xml:space="preserve"> </w:t>
      </w:r>
      <w:r w:rsidR="00A73BFC">
        <w:rPr>
          <w:sz w:val="20"/>
        </w:rPr>
        <w:t>Occupying</w:t>
      </w:r>
      <w:r w:rsidR="002B3E3F" w:rsidRPr="000150E3">
        <w:rPr>
          <w:sz w:val="20"/>
        </w:rPr>
        <w:t xml:space="preserve"> low to middle elevations in areas with annual precipitation of 50 to 200 cm, this species has low fertility requirements and low drought tolerance. </w:t>
      </w:r>
      <w:r w:rsidR="00B57853" w:rsidRPr="000150E3">
        <w:rPr>
          <w:sz w:val="20"/>
        </w:rPr>
        <w:t xml:space="preserve"> </w:t>
      </w:r>
      <w:r w:rsidR="007F1B47" w:rsidRPr="000150E3">
        <w:rPr>
          <w:sz w:val="20"/>
        </w:rPr>
        <w:t xml:space="preserve">Pacific ninebark is </w:t>
      </w:r>
      <w:r w:rsidR="007F1B47" w:rsidRPr="0048681A">
        <w:rPr>
          <w:sz w:val="20"/>
        </w:rPr>
        <w:t>scattered to common west of the Cascades and often abundant in wet areas and on steep north slopes of the coast</w:t>
      </w:r>
      <w:r w:rsidR="00005258">
        <w:rPr>
          <w:sz w:val="20"/>
        </w:rPr>
        <w:t>al</w:t>
      </w:r>
      <w:r w:rsidR="007F1B47" w:rsidRPr="0048681A">
        <w:rPr>
          <w:sz w:val="20"/>
        </w:rPr>
        <w:t xml:space="preserve"> </w:t>
      </w:r>
      <w:r w:rsidR="00005258">
        <w:rPr>
          <w:sz w:val="20"/>
        </w:rPr>
        <w:t>mountains</w:t>
      </w:r>
      <w:r w:rsidR="007F1B47" w:rsidRPr="0048681A">
        <w:rPr>
          <w:sz w:val="20"/>
        </w:rPr>
        <w:t>.</w:t>
      </w:r>
      <w:r w:rsidR="001146B3">
        <w:rPr>
          <w:sz w:val="20"/>
        </w:rPr>
        <w:t xml:space="preserve">  </w:t>
      </w:r>
      <w:bookmarkStart w:id="0" w:name="OLE_LINK1"/>
      <w:bookmarkStart w:id="1" w:name="OLE_LINK2"/>
      <w:r w:rsidR="000E6FC4">
        <w:rPr>
          <w:sz w:val="20"/>
        </w:rPr>
        <w:t>Habitats include stream</w:t>
      </w:r>
      <w:r w:rsidR="002B3E3F" w:rsidRPr="000150E3">
        <w:rPr>
          <w:sz w:val="20"/>
        </w:rPr>
        <w:t>banks, lake margins, and swampy areas or openings in moist woods.</w:t>
      </w:r>
      <w:r w:rsidR="00B57853" w:rsidRPr="000150E3">
        <w:rPr>
          <w:sz w:val="20"/>
        </w:rPr>
        <w:t xml:space="preserve"> </w:t>
      </w:r>
      <w:r w:rsidR="002B3E3F" w:rsidRPr="000150E3">
        <w:rPr>
          <w:sz w:val="20"/>
        </w:rPr>
        <w:t xml:space="preserve"> </w:t>
      </w:r>
      <w:bookmarkEnd w:id="0"/>
      <w:bookmarkEnd w:id="1"/>
      <w:r w:rsidR="002B3E3F" w:rsidRPr="000150E3">
        <w:rPr>
          <w:sz w:val="20"/>
        </w:rPr>
        <w:t>Occasionally, Pacific ninebark is found in coastal marsh lands and meadows or at drier shrubby sites.</w:t>
      </w:r>
      <w:r w:rsidR="00B57853" w:rsidRPr="000150E3">
        <w:rPr>
          <w:sz w:val="20"/>
        </w:rPr>
        <w:t xml:space="preserve"> </w:t>
      </w:r>
      <w:r w:rsidR="002B3E3F" w:rsidRPr="000150E3">
        <w:rPr>
          <w:sz w:val="20"/>
        </w:rPr>
        <w:t xml:space="preserve"> Pacific ninebark occurs primarily west of the </w:t>
      </w:r>
      <w:smartTag w:uri="urn:schemas-microsoft-com:office:smarttags" w:element="PlaceName">
        <w:r w:rsidR="002B3E3F" w:rsidRPr="000150E3">
          <w:rPr>
            <w:sz w:val="20"/>
          </w:rPr>
          <w:t>British Columbia</w:t>
        </w:r>
      </w:smartTag>
      <w:r w:rsidR="002B3E3F" w:rsidRPr="000150E3">
        <w:rPr>
          <w:sz w:val="20"/>
        </w:rPr>
        <w:t xml:space="preserve"> </w:t>
      </w:r>
      <w:smartTag w:uri="urn:schemas-microsoft-com:office:smarttags" w:element="PlaceType">
        <w:r w:rsidR="002B3E3F" w:rsidRPr="000150E3">
          <w:rPr>
            <w:sz w:val="20"/>
          </w:rPr>
          <w:t>Coast</w:t>
        </w:r>
      </w:smartTag>
      <w:r w:rsidR="002B3E3F" w:rsidRPr="000150E3">
        <w:rPr>
          <w:sz w:val="20"/>
        </w:rPr>
        <w:t xml:space="preserve">, Cascade, and Sierra Nevada Mountain Ranges from extreme southeast </w:t>
      </w:r>
      <w:smartTag w:uri="urn:schemas-microsoft-com:office:smarttags" w:element="State">
        <w:r w:rsidR="002B3E3F" w:rsidRPr="000150E3">
          <w:rPr>
            <w:sz w:val="20"/>
          </w:rPr>
          <w:t>Alaska</w:t>
        </w:r>
      </w:smartTag>
      <w:r w:rsidR="002B3E3F" w:rsidRPr="000150E3">
        <w:rPr>
          <w:sz w:val="20"/>
        </w:rPr>
        <w:t xml:space="preserve"> to central </w:t>
      </w:r>
      <w:smartTag w:uri="urn:schemas-microsoft-com:office:smarttags" w:element="State">
        <w:smartTag w:uri="urn:schemas-microsoft-com:office:smarttags" w:element="place">
          <w:r w:rsidR="002B3E3F" w:rsidRPr="000150E3">
            <w:rPr>
              <w:sz w:val="20"/>
            </w:rPr>
            <w:t>California</w:t>
          </w:r>
        </w:smartTag>
      </w:smartTag>
      <w:r w:rsidR="002B3E3F" w:rsidRPr="000150E3">
        <w:rPr>
          <w:sz w:val="20"/>
        </w:rPr>
        <w:t>.</w:t>
      </w:r>
      <w:r w:rsidR="00B57853" w:rsidRPr="000150E3">
        <w:rPr>
          <w:sz w:val="20"/>
        </w:rPr>
        <w:t xml:space="preserve"> </w:t>
      </w:r>
      <w:r w:rsidR="002B3E3F" w:rsidRPr="000150E3">
        <w:rPr>
          <w:sz w:val="20"/>
        </w:rPr>
        <w:t xml:space="preserve"> It is less </w:t>
      </w:r>
      <w:r w:rsidR="00A73BFC">
        <w:rPr>
          <w:sz w:val="20"/>
        </w:rPr>
        <w:t>prevalent</w:t>
      </w:r>
      <w:r w:rsidR="00A73BFC" w:rsidRPr="000150E3">
        <w:rPr>
          <w:sz w:val="20"/>
        </w:rPr>
        <w:t xml:space="preserve"> </w:t>
      </w:r>
      <w:r w:rsidR="002B3E3F" w:rsidRPr="000150E3">
        <w:rPr>
          <w:sz w:val="20"/>
        </w:rPr>
        <w:t xml:space="preserve">east of the Cascades where its range extends along the </w:t>
      </w:r>
      <w:smartTag w:uri="urn:schemas-microsoft-com:office:smarttags" w:element="City">
        <w:r w:rsidR="002B3E3F" w:rsidRPr="000150E3">
          <w:rPr>
            <w:sz w:val="20"/>
          </w:rPr>
          <w:t>Columbia</w:t>
        </w:r>
      </w:smartTag>
      <w:r w:rsidR="002B3E3F" w:rsidRPr="000150E3">
        <w:rPr>
          <w:sz w:val="20"/>
        </w:rPr>
        <w:t xml:space="preserve">, Snake and </w:t>
      </w:r>
      <w:smartTag w:uri="urn:schemas-microsoft-com:office:smarttags" w:element="PlaceName">
        <w:r w:rsidR="002B3E3F" w:rsidRPr="000150E3">
          <w:rPr>
            <w:sz w:val="20"/>
          </w:rPr>
          <w:t>Clearwater</w:t>
        </w:r>
      </w:smartTag>
      <w:r w:rsidR="002B3E3F" w:rsidRPr="000150E3">
        <w:rPr>
          <w:sz w:val="20"/>
        </w:rPr>
        <w:t xml:space="preserve"> </w:t>
      </w:r>
      <w:smartTag w:uri="urn:schemas-microsoft-com:office:smarttags" w:element="PlaceType">
        <w:r w:rsidR="002B3E3F" w:rsidRPr="000150E3">
          <w:rPr>
            <w:sz w:val="20"/>
          </w:rPr>
          <w:t>Rivers</w:t>
        </w:r>
      </w:smartTag>
      <w:r w:rsidR="002B3E3F" w:rsidRPr="000150E3">
        <w:rPr>
          <w:sz w:val="20"/>
        </w:rPr>
        <w:t xml:space="preserve"> into </w:t>
      </w:r>
      <w:smartTag w:uri="urn:schemas-microsoft-com:office:smarttags" w:element="State">
        <w:smartTag w:uri="urn:schemas-microsoft-com:office:smarttags" w:element="place">
          <w:r w:rsidR="002B3E3F" w:rsidRPr="000150E3">
            <w:rPr>
              <w:sz w:val="20"/>
            </w:rPr>
            <w:t>Idaho</w:t>
          </w:r>
        </w:smartTag>
      </w:smartTag>
      <w:r w:rsidR="002B3E3F" w:rsidRPr="000150E3">
        <w:rPr>
          <w:sz w:val="20"/>
        </w:rPr>
        <w:t xml:space="preserve"> and overlaps with that of mallow ninebark (</w:t>
      </w:r>
      <w:r w:rsidR="002B3E3F" w:rsidRPr="000150E3">
        <w:rPr>
          <w:i/>
          <w:sz w:val="20"/>
        </w:rPr>
        <w:t>Physocarpus malvaceus</w:t>
      </w:r>
      <w:r w:rsidR="002B3E3F" w:rsidRPr="000150E3">
        <w:rPr>
          <w:sz w:val="20"/>
        </w:rPr>
        <w:t>).</w:t>
      </w:r>
      <w:r w:rsidR="00B57853" w:rsidRPr="000150E3">
        <w:rPr>
          <w:sz w:val="20"/>
        </w:rPr>
        <w:t xml:space="preserve"> </w:t>
      </w:r>
    </w:p>
    <w:p w:rsidR="00497AE7" w:rsidRDefault="00497AE7" w:rsidP="002B3E3F">
      <w:pPr>
        <w:jc w:val="left"/>
        <w:rPr>
          <w:sz w:val="20"/>
        </w:rPr>
      </w:pPr>
    </w:p>
    <w:p w:rsidR="00AB65C7" w:rsidRDefault="00AB65C7" w:rsidP="00AB65C7">
      <w:pPr>
        <w:pStyle w:val="Header3"/>
      </w:pPr>
      <w:r>
        <w:t>Pests and Potential Problems:</w:t>
      </w:r>
      <w:r w:rsidRPr="007F1B47">
        <w:t xml:space="preserve"> </w:t>
      </w:r>
      <w:r w:rsidRPr="007F1B47">
        <w:rPr>
          <w:b w:val="0"/>
        </w:rPr>
        <w:t xml:space="preserve">The genus is </w:t>
      </w:r>
      <w:r>
        <w:rPr>
          <w:b w:val="0"/>
        </w:rPr>
        <w:t>relatively</w:t>
      </w:r>
      <w:r w:rsidRPr="007F1B47">
        <w:rPr>
          <w:b w:val="0"/>
        </w:rPr>
        <w:t xml:space="preserve"> free of insect pests and diseases although </w:t>
      </w:r>
      <w:r>
        <w:rPr>
          <w:b w:val="0"/>
        </w:rPr>
        <w:t>susceptibility to aphids and powdery mildew has been reported.  F</w:t>
      </w:r>
      <w:r w:rsidRPr="007F1B47">
        <w:rPr>
          <w:b w:val="0"/>
        </w:rPr>
        <w:t>lower and seed eating specialist</w:t>
      </w:r>
      <w:r>
        <w:rPr>
          <w:b w:val="0"/>
        </w:rPr>
        <w:t xml:space="preserve"> insect</w:t>
      </w:r>
      <w:r w:rsidRPr="007F1B47">
        <w:rPr>
          <w:b w:val="0"/>
        </w:rPr>
        <w:t xml:space="preserve">s are known to occur on common ninebark </w:t>
      </w:r>
      <w:bookmarkStart w:id="2" w:name="OLE_LINK3"/>
      <w:bookmarkStart w:id="3" w:name="OLE_LINK4"/>
      <w:r w:rsidRPr="007F1B47">
        <w:rPr>
          <w:b w:val="0"/>
        </w:rPr>
        <w:lastRenderedPageBreak/>
        <w:t>(</w:t>
      </w:r>
      <w:r w:rsidRPr="007F1B47">
        <w:rPr>
          <w:b w:val="0"/>
          <w:i/>
        </w:rPr>
        <w:t>Physocarpus opulifolius</w:t>
      </w:r>
      <w:r w:rsidRPr="007F1B47">
        <w:rPr>
          <w:b w:val="0"/>
        </w:rPr>
        <w:t>)</w:t>
      </w:r>
      <w:bookmarkEnd w:id="2"/>
      <w:bookmarkEnd w:id="3"/>
      <w:r w:rsidRPr="007F1B47">
        <w:rPr>
          <w:b w:val="0"/>
        </w:rPr>
        <w:t xml:space="preserve">, a native of the eastern </w:t>
      </w:r>
      <w:smartTag w:uri="urn:schemas-microsoft-com:office:smarttags" w:element="place">
        <w:smartTag w:uri="urn:schemas-microsoft-com:office:smarttags" w:element="country-region">
          <w:r w:rsidRPr="007F1B47">
            <w:rPr>
              <w:b w:val="0"/>
            </w:rPr>
            <w:t>United States</w:t>
          </w:r>
        </w:smartTag>
      </w:smartTag>
      <w:r w:rsidRPr="007F1B47">
        <w:rPr>
          <w:b w:val="0"/>
        </w:rPr>
        <w:t>.</w:t>
      </w:r>
    </w:p>
    <w:p w:rsidR="00AB65C7" w:rsidRPr="000150E3" w:rsidRDefault="00AB65C7" w:rsidP="002B3E3F">
      <w:pPr>
        <w:jc w:val="left"/>
        <w:rPr>
          <w:sz w:val="20"/>
        </w:rPr>
      </w:pPr>
    </w:p>
    <w:p w:rsidR="00437F11" w:rsidRDefault="005810F1" w:rsidP="003631C1">
      <w:pPr>
        <w:tabs>
          <w:tab w:val="left" w:pos="2430"/>
        </w:tabs>
        <w:jc w:val="left"/>
        <w:rPr>
          <w:sz w:val="20"/>
        </w:rPr>
      </w:pPr>
      <w:r>
        <w:rPr>
          <w:noProof/>
        </w:rPr>
        <w:drawing>
          <wp:inline distT="0" distB="0" distL="0" distR="0">
            <wp:extent cx="2743200" cy="3695700"/>
            <wp:effectExtent l="19050" t="0" r="0" b="0"/>
            <wp:docPr id="2" name="Picture 2" descr="phca11 line drawing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ca11 line drawing small"/>
                    <pic:cNvPicPr>
                      <a:picLocks noChangeAspect="1" noChangeArrowheads="1"/>
                    </pic:cNvPicPr>
                  </pic:nvPicPr>
                  <pic:blipFill>
                    <a:blip r:embed="rId9" cstate="print"/>
                    <a:srcRect/>
                    <a:stretch>
                      <a:fillRect/>
                    </a:stretch>
                  </pic:blipFill>
                  <pic:spPr bwMode="auto">
                    <a:xfrm>
                      <a:off x="0" y="0"/>
                      <a:ext cx="2743200" cy="3695700"/>
                    </a:xfrm>
                    <a:prstGeom prst="rect">
                      <a:avLst/>
                    </a:prstGeom>
                    <a:noFill/>
                    <a:ln w="9525">
                      <a:noFill/>
                      <a:miter lim="800000"/>
                      <a:headEnd/>
                      <a:tailEnd/>
                    </a:ln>
                  </pic:spPr>
                </pic:pic>
              </a:graphicData>
            </a:graphic>
          </wp:inline>
        </w:drawing>
      </w:r>
    </w:p>
    <w:p w:rsidR="0007460A" w:rsidRPr="00EA1D11" w:rsidRDefault="000A0003" w:rsidP="00EA1D11">
      <w:pPr>
        <w:tabs>
          <w:tab w:val="left" w:pos="2430"/>
        </w:tabs>
        <w:jc w:val="right"/>
        <w:rPr>
          <w:sz w:val="20"/>
        </w:rPr>
      </w:pPr>
      <w:r w:rsidRPr="00EA1D11">
        <w:rPr>
          <w:sz w:val="16"/>
          <w:szCs w:val="16"/>
        </w:rPr>
        <w:t>© P</w:t>
      </w:r>
      <w:r w:rsidR="00EA1D11">
        <w:rPr>
          <w:sz w:val="16"/>
          <w:szCs w:val="16"/>
        </w:rPr>
        <w:t xml:space="preserve">rovince of </w:t>
      </w:r>
      <w:smartTag w:uri="urn:schemas-microsoft-com:office:smarttags" w:element="place">
        <w:smartTag w:uri="urn:schemas-microsoft-com:office:smarttags" w:element="State">
          <w:r w:rsidR="00EA1D11">
            <w:rPr>
              <w:sz w:val="16"/>
              <w:szCs w:val="16"/>
            </w:rPr>
            <w:t>British Columbia</w:t>
          </w:r>
        </w:smartTag>
      </w:smartTag>
    </w:p>
    <w:p w:rsidR="0007460A" w:rsidRPr="003631C1" w:rsidRDefault="0007460A" w:rsidP="003631C1">
      <w:pPr>
        <w:tabs>
          <w:tab w:val="left" w:pos="2430"/>
        </w:tabs>
        <w:jc w:val="left"/>
        <w:rPr>
          <w:sz w:val="20"/>
        </w:rPr>
      </w:pPr>
    </w:p>
    <w:p w:rsidR="002B3E3F" w:rsidRPr="000150E3" w:rsidRDefault="002B3E3F" w:rsidP="002B3E3F">
      <w:pPr>
        <w:jc w:val="left"/>
        <w:rPr>
          <w:sz w:val="20"/>
        </w:rPr>
      </w:pPr>
      <w:r w:rsidRPr="000150E3">
        <w:rPr>
          <w:b/>
          <w:sz w:val="20"/>
        </w:rPr>
        <w:t>Establishment:</w:t>
      </w:r>
      <w:r w:rsidRPr="000150E3">
        <w:rPr>
          <w:sz w:val="20"/>
        </w:rPr>
        <w:t xml:space="preserve"> Pacific ninebark is typically propagated by seed (requiring 2 </w:t>
      </w:r>
      <w:r w:rsidR="00A73BFC">
        <w:rPr>
          <w:sz w:val="20"/>
        </w:rPr>
        <w:t>to 4</w:t>
      </w:r>
      <w:r w:rsidRPr="000150E3">
        <w:rPr>
          <w:sz w:val="20"/>
        </w:rPr>
        <w:t xml:space="preserve"> months cold stratification) or is rooted from softwood or hardwood cuttings.</w:t>
      </w:r>
      <w:r w:rsidR="00B57853" w:rsidRPr="000150E3">
        <w:rPr>
          <w:sz w:val="20"/>
        </w:rPr>
        <w:t xml:space="preserve"> </w:t>
      </w:r>
      <w:r w:rsidRPr="000150E3">
        <w:rPr>
          <w:sz w:val="20"/>
        </w:rPr>
        <w:t xml:space="preserve"> There are 43750 seeds per ounce with viability ranging from below 50% to nearly 100%. </w:t>
      </w:r>
      <w:r w:rsidR="00B57853" w:rsidRPr="000150E3">
        <w:rPr>
          <w:sz w:val="20"/>
        </w:rPr>
        <w:t xml:space="preserve"> </w:t>
      </w:r>
      <w:r w:rsidRPr="000150E3">
        <w:rPr>
          <w:sz w:val="20"/>
        </w:rPr>
        <w:t>Softwood cuttings taken in spring may be grown under mist, whereas dormant hardwood cuttings may be planted directly in the field as live stakes or fascines.</w:t>
      </w:r>
      <w:r w:rsidR="00A73BFC">
        <w:rPr>
          <w:sz w:val="20"/>
        </w:rPr>
        <w:t xml:space="preserve">  Autumn is the best time to transplant </w:t>
      </w:r>
      <w:r w:rsidR="00036229">
        <w:rPr>
          <w:sz w:val="20"/>
        </w:rPr>
        <w:t xml:space="preserve">cuttings or </w:t>
      </w:r>
      <w:r w:rsidR="00A73BFC">
        <w:rPr>
          <w:sz w:val="20"/>
        </w:rPr>
        <w:t xml:space="preserve">rooted </w:t>
      </w:r>
      <w:r w:rsidR="00036229">
        <w:rPr>
          <w:sz w:val="20"/>
        </w:rPr>
        <w:t>stock</w:t>
      </w:r>
      <w:r w:rsidR="00A73BFC">
        <w:rPr>
          <w:sz w:val="20"/>
        </w:rPr>
        <w:t>.  Mulching improves establishment.</w:t>
      </w:r>
    </w:p>
    <w:p w:rsidR="00CD49CC" w:rsidRPr="000150E3" w:rsidRDefault="00CD49CC" w:rsidP="00F802DB">
      <w:pPr>
        <w:pStyle w:val="Bodytext0"/>
      </w:pPr>
    </w:p>
    <w:p w:rsidR="00B21459" w:rsidRDefault="00B21459" w:rsidP="00FD5F70">
      <w:pPr>
        <w:jc w:val="left"/>
        <w:rPr>
          <w:sz w:val="20"/>
        </w:rPr>
      </w:pPr>
      <w:r w:rsidRPr="00FD5F70">
        <w:rPr>
          <w:b/>
          <w:sz w:val="20"/>
        </w:rPr>
        <w:t>Management:</w:t>
      </w:r>
      <w:r w:rsidRPr="00FD5F70">
        <w:rPr>
          <w:sz w:val="20"/>
        </w:rPr>
        <w:t xml:space="preserve"> </w:t>
      </w:r>
      <w:r w:rsidR="004E4718" w:rsidRPr="00FD5F70">
        <w:rPr>
          <w:sz w:val="20"/>
        </w:rPr>
        <w:t xml:space="preserve">Nursery plantings of </w:t>
      </w:r>
      <w:r w:rsidRPr="00FD5F70">
        <w:rPr>
          <w:sz w:val="20"/>
        </w:rPr>
        <w:t xml:space="preserve">Pacific ninebark </w:t>
      </w:r>
      <w:r w:rsidR="004E4718" w:rsidRPr="00FD5F70">
        <w:rPr>
          <w:sz w:val="20"/>
        </w:rPr>
        <w:t>can be as dense as 1200 plants per acre in soil at least 20 in. deep.  Consider supplemental irrigation during establishment ye</w:t>
      </w:r>
      <w:r w:rsidR="00FD5F70">
        <w:rPr>
          <w:sz w:val="20"/>
        </w:rPr>
        <w:t>ar or years with low rainfall.</w:t>
      </w:r>
    </w:p>
    <w:p w:rsidR="00FD5F70" w:rsidRPr="00FD5F70" w:rsidRDefault="00FD5F70" w:rsidP="00FD5F70">
      <w:pPr>
        <w:jc w:val="left"/>
        <w:rPr>
          <w:sz w:val="20"/>
        </w:rPr>
      </w:pPr>
    </w:p>
    <w:p w:rsidR="00B21459" w:rsidRPr="0053489D" w:rsidRDefault="00FD5F70" w:rsidP="0053489D">
      <w:pPr>
        <w:jc w:val="left"/>
        <w:rPr>
          <w:sz w:val="20"/>
        </w:rPr>
      </w:pPr>
      <w:r>
        <w:rPr>
          <w:b/>
          <w:sz w:val="20"/>
        </w:rPr>
        <w:t>E</w:t>
      </w:r>
      <w:r w:rsidR="00B21459" w:rsidRPr="0053489D">
        <w:rPr>
          <w:b/>
          <w:sz w:val="20"/>
        </w:rPr>
        <w:t>nvironmental Concerns:</w:t>
      </w:r>
      <w:r w:rsidR="00B21459" w:rsidRPr="0053489D">
        <w:rPr>
          <w:sz w:val="20"/>
        </w:rPr>
        <w:t xml:space="preserve"> Pacific ninebark spreads slowly either by seed or by root sprouting.  </w:t>
      </w:r>
      <w:r w:rsidR="00A73BFC">
        <w:rPr>
          <w:sz w:val="20"/>
        </w:rPr>
        <w:t>Concerns are minimal, except for possible toxicity</w:t>
      </w:r>
      <w:r w:rsidR="00B21459" w:rsidRPr="0053489D">
        <w:rPr>
          <w:sz w:val="20"/>
        </w:rPr>
        <w:t>.</w:t>
      </w:r>
    </w:p>
    <w:p w:rsidR="0053489D" w:rsidRPr="0053489D" w:rsidRDefault="0053489D" w:rsidP="0053489D">
      <w:pPr>
        <w:jc w:val="left"/>
        <w:rPr>
          <w:sz w:val="20"/>
        </w:rPr>
      </w:pPr>
    </w:p>
    <w:p w:rsidR="008578FD" w:rsidRPr="001D78F7" w:rsidRDefault="001D78F7" w:rsidP="001D78F7">
      <w:pPr>
        <w:pStyle w:val="Header3"/>
        <w:rPr>
          <w:b w:val="0"/>
        </w:rPr>
      </w:pPr>
      <w:r>
        <w:t>Cultivars, Improved, and Selected Materials (and area of origin)</w:t>
      </w:r>
      <w:r w:rsidR="008578FD" w:rsidRPr="0048681A">
        <w:t xml:space="preserve">: </w:t>
      </w:r>
      <w:r w:rsidR="008578FD" w:rsidRPr="001D78F7">
        <w:rPr>
          <w:b w:val="0"/>
        </w:rPr>
        <w:t>Pacific ninebark is routinely available in containers or bare-root from west coast native plant nurseries.</w:t>
      </w:r>
      <w:r w:rsidR="00B57853" w:rsidRPr="001D78F7">
        <w:rPr>
          <w:b w:val="0"/>
        </w:rPr>
        <w:t xml:space="preserve"> </w:t>
      </w:r>
      <w:r w:rsidR="008578FD" w:rsidRPr="001D78F7">
        <w:rPr>
          <w:b w:val="0"/>
        </w:rPr>
        <w:t xml:space="preserve"> There is a prostrate </w:t>
      </w:r>
      <w:r w:rsidR="008578FD" w:rsidRPr="001D78F7">
        <w:rPr>
          <w:b w:val="0"/>
        </w:rPr>
        <w:lastRenderedPageBreak/>
        <w:t>ornamental cultivar named ‘</w:t>
      </w:r>
      <w:smartTag w:uri="urn:schemas-microsoft-com:office:smarttags" w:element="place">
        <w:smartTag w:uri="urn:schemas-microsoft-com:office:smarttags" w:element="PlaceName">
          <w:r w:rsidR="008578FD" w:rsidRPr="001D78F7">
            <w:rPr>
              <w:b w:val="0"/>
            </w:rPr>
            <w:t>Tilden</w:t>
          </w:r>
        </w:smartTag>
        <w:r w:rsidR="008578FD" w:rsidRPr="001D78F7">
          <w:rPr>
            <w:b w:val="0"/>
          </w:rPr>
          <w:t xml:space="preserve"> </w:t>
        </w:r>
        <w:smartTag w:uri="urn:schemas-microsoft-com:office:smarttags" w:element="PlaceType">
          <w:r w:rsidR="008578FD" w:rsidRPr="001D78F7">
            <w:rPr>
              <w:b w:val="0"/>
            </w:rPr>
            <w:t>Park</w:t>
          </w:r>
        </w:smartTag>
      </w:smartTag>
      <w:r w:rsidR="008578FD" w:rsidRPr="001D78F7">
        <w:rPr>
          <w:b w:val="0"/>
        </w:rPr>
        <w:t>’ that grows to a height of 4-5 feet.</w:t>
      </w:r>
    </w:p>
    <w:p w:rsidR="001D78F7" w:rsidRDefault="001D78F7" w:rsidP="00B57853">
      <w:pPr>
        <w:jc w:val="left"/>
        <w:rPr>
          <w:b/>
          <w:sz w:val="20"/>
        </w:rPr>
      </w:pPr>
    </w:p>
    <w:p w:rsidR="008578FD" w:rsidRPr="000150E3" w:rsidRDefault="00CD49CC" w:rsidP="00B57853">
      <w:pPr>
        <w:jc w:val="left"/>
        <w:rPr>
          <w:sz w:val="20"/>
        </w:rPr>
      </w:pPr>
      <w:r w:rsidRPr="000150E3">
        <w:rPr>
          <w:b/>
          <w:sz w:val="20"/>
        </w:rPr>
        <w:t>Prepared By:</w:t>
      </w:r>
      <w:r w:rsidRPr="000150E3">
        <w:rPr>
          <w:sz w:val="20"/>
        </w:rPr>
        <w:t xml:space="preserve"> </w:t>
      </w:r>
      <w:r w:rsidR="008578FD" w:rsidRPr="00682A10">
        <w:rPr>
          <w:i/>
          <w:sz w:val="20"/>
        </w:rPr>
        <w:t>Pete Gonzalves</w:t>
      </w:r>
      <w:r w:rsidR="008578FD" w:rsidRPr="000150E3">
        <w:rPr>
          <w:sz w:val="20"/>
        </w:rPr>
        <w:t xml:space="preserve"> and </w:t>
      </w:r>
      <w:r w:rsidR="008578FD" w:rsidRPr="00682A10">
        <w:rPr>
          <w:i/>
          <w:sz w:val="20"/>
        </w:rPr>
        <w:t>Dale Darris</w:t>
      </w:r>
      <w:r w:rsidR="008578FD" w:rsidRPr="000150E3">
        <w:rPr>
          <w:sz w:val="20"/>
        </w:rPr>
        <w:t xml:space="preserve">. </w:t>
      </w:r>
      <w:r w:rsidR="00B57853" w:rsidRPr="000150E3">
        <w:rPr>
          <w:sz w:val="20"/>
        </w:rPr>
        <w:t xml:space="preserve"> </w:t>
      </w:r>
      <w:smartTag w:uri="urn:schemas-microsoft-com:office:smarttags" w:element="PlaceName">
        <w:r w:rsidR="008578FD" w:rsidRPr="000150E3">
          <w:rPr>
            <w:sz w:val="20"/>
          </w:rPr>
          <w:t>USDA</w:t>
        </w:r>
      </w:smartTag>
      <w:r w:rsidR="008578FD" w:rsidRPr="000150E3">
        <w:rPr>
          <w:sz w:val="20"/>
        </w:rPr>
        <w:t xml:space="preserve"> </w:t>
      </w:r>
      <w:smartTag w:uri="urn:schemas-microsoft-com:office:smarttags" w:element="PlaceName">
        <w:r w:rsidR="008578FD" w:rsidRPr="000150E3">
          <w:rPr>
            <w:sz w:val="20"/>
          </w:rPr>
          <w:t>NRCS</w:t>
        </w:r>
      </w:smartTag>
      <w:r w:rsidR="008578FD" w:rsidRPr="000150E3">
        <w:rPr>
          <w:sz w:val="20"/>
        </w:rPr>
        <w:t xml:space="preserve"> </w:t>
      </w:r>
      <w:smartTag w:uri="urn:schemas-microsoft-com:office:smarttags" w:element="PlaceName">
        <w:r w:rsidR="008578FD" w:rsidRPr="000150E3">
          <w:rPr>
            <w:sz w:val="20"/>
          </w:rPr>
          <w:t>Plant</w:t>
        </w:r>
      </w:smartTag>
      <w:r w:rsidR="008578FD" w:rsidRPr="000150E3">
        <w:rPr>
          <w:sz w:val="20"/>
        </w:rPr>
        <w:t xml:space="preserve"> </w:t>
      </w:r>
      <w:smartTag w:uri="urn:schemas-microsoft-com:office:smarttags" w:element="PlaceName">
        <w:r w:rsidR="008578FD" w:rsidRPr="000150E3">
          <w:rPr>
            <w:sz w:val="20"/>
          </w:rPr>
          <w:t>Materials</w:t>
        </w:r>
      </w:smartTag>
      <w:r w:rsidR="008578FD" w:rsidRPr="000150E3">
        <w:rPr>
          <w:sz w:val="20"/>
        </w:rPr>
        <w:t xml:space="preserve"> </w:t>
      </w:r>
      <w:smartTag w:uri="urn:schemas-microsoft-com:office:smarttags" w:element="PlaceType">
        <w:r w:rsidR="008578FD" w:rsidRPr="000150E3">
          <w:rPr>
            <w:sz w:val="20"/>
          </w:rPr>
          <w:t>Center</w:t>
        </w:r>
      </w:smartTag>
      <w:r w:rsidR="008578FD" w:rsidRPr="000150E3">
        <w:rPr>
          <w:sz w:val="20"/>
        </w:rPr>
        <w:t xml:space="preserve">, </w:t>
      </w:r>
      <w:smartTag w:uri="urn:schemas-microsoft-com:office:smarttags" w:element="place">
        <w:smartTag w:uri="urn:schemas-microsoft-com:office:smarttags" w:element="City">
          <w:r w:rsidR="008578FD" w:rsidRPr="000150E3">
            <w:rPr>
              <w:sz w:val="20"/>
            </w:rPr>
            <w:t>Corvallis</w:t>
          </w:r>
        </w:smartTag>
        <w:r w:rsidR="008578FD" w:rsidRPr="000150E3">
          <w:rPr>
            <w:sz w:val="20"/>
          </w:rPr>
          <w:t xml:space="preserve">, </w:t>
        </w:r>
        <w:smartTag w:uri="urn:schemas-microsoft-com:office:smarttags" w:element="State">
          <w:r w:rsidR="008578FD" w:rsidRPr="000150E3">
            <w:rPr>
              <w:sz w:val="20"/>
            </w:rPr>
            <w:t>Oregon</w:t>
          </w:r>
        </w:smartTag>
      </w:smartTag>
      <w:r w:rsidR="00AF2202">
        <w:rPr>
          <w:sz w:val="20"/>
        </w:rPr>
        <w:t>.</w:t>
      </w:r>
    </w:p>
    <w:p w:rsidR="00BE5356" w:rsidRPr="000150E3" w:rsidRDefault="00BE5356" w:rsidP="00B57853">
      <w:pPr>
        <w:jc w:val="left"/>
        <w:rPr>
          <w:sz w:val="20"/>
        </w:rPr>
      </w:pPr>
    </w:p>
    <w:p w:rsidR="008578FD" w:rsidRPr="000150E3" w:rsidRDefault="00CD49CC" w:rsidP="00B57853">
      <w:pPr>
        <w:jc w:val="left"/>
        <w:rPr>
          <w:sz w:val="20"/>
        </w:rPr>
      </w:pPr>
      <w:r w:rsidRPr="000150E3">
        <w:rPr>
          <w:b/>
          <w:sz w:val="20"/>
        </w:rPr>
        <w:t>Species Coordinator:</w:t>
      </w:r>
      <w:r w:rsidRPr="000150E3">
        <w:rPr>
          <w:sz w:val="20"/>
        </w:rPr>
        <w:t xml:space="preserve"> </w:t>
      </w:r>
      <w:r w:rsidR="008578FD" w:rsidRPr="00682A10">
        <w:rPr>
          <w:i/>
          <w:sz w:val="20"/>
        </w:rPr>
        <w:t>Pete Gonzalves</w:t>
      </w:r>
      <w:r w:rsidR="008578FD" w:rsidRPr="000150E3">
        <w:rPr>
          <w:sz w:val="20"/>
        </w:rPr>
        <w:t xml:space="preserve">. </w:t>
      </w:r>
      <w:r w:rsidR="00B57853" w:rsidRPr="000150E3">
        <w:rPr>
          <w:sz w:val="20"/>
        </w:rPr>
        <w:t xml:space="preserve"> </w:t>
      </w:r>
      <w:smartTag w:uri="urn:schemas-microsoft-com:office:smarttags" w:element="PlaceName">
        <w:r w:rsidR="008578FD" w:rsidRPr="000150E3">
          <w:rPr>
            <w:sz w:val="20"/>
          </w:rPr>
          <w:t>USDA</w:t>
        </w:r>
      </w:smartTag>
      <w:r w:rsidR="008578FD" w:rsidRPr="000150E3">
        <w:rPr>
          <w:sz w:val="20"/>
        </w:rPr>
        <w:t xml:space="preserve"> </w:t>
      </w:r>
      <w:smartTag w:uri="urn:schemas-microsoft-com:office:smarttags" w:element="PlaceName">
        <w:r w:rsidR="008578FD" w:rsidRPr="000150E3">
          <w:rPr>
            <w:sz w:val="20"/>
          </w:rPr>
          <w:t>NRCS</w:t>
        </w:r>
      </w:smartTag>
      <w:r w:rsidR="008578FD" w:rsidRPr="000150E3">
        <w:rPr>
          <w:sz w:val="20"/>
        </w:rPr>
        <w:t xml:space="preserve"> </w:t>
      </w:r>
      <w:smartTag w:uri="urn:schemas-microsoft-com:office:smarttags" w:element="PlaceName">
        <w:r w:rsidR="008578FD" w:rsidRPr="000150E3">
          <w:rPr>
            <w:sz w:val="20"/>
          </w:rPr>
          <w:t>Plant</w:t>
        </w:r>
      </w:smartTag>
      <w:r w:rsidR="008578FD" w:rsidRPr="000150E3">
        <w:rPr>
          <w:sz w:val="20"/>
        </w:rPr>
        <w:t xml:space="preserve"> </w:t>
      </w:r>
      <w:smartTag w:uri="urn:schemas-microsoft-com:office:smarttags" w:element="PlaceName">
        <w:r w:rsidR="008578FD" w:rsidRPr="000150E3">
          <w:rPr>
            <w:sz w:val="20"/>
          </w:rPr>
          <w:t>Materials</w:t>
        </w:r>
      </w:smartTag>
      <w:r w:rsidR="008578FD" w:rsidRPr="000150E3">
        <w:rPr>
          <w:sz w:val="20"/>
        </w:rPr>
        <w:t xml:space="preserve"> </w:t>
      </w:r>
      <w:smartTag w:uri="urn:schemas-microsoft-com:office:smarttags" w:element="PlaceType">
        <w:r w:rsidR="008578FD" w:rsidRPr="000150E3">
          <w:rPr>
            <w:sz w:val="20"/>
          </w:rPr>
          <w:t>Center</w:t>
        </w:r>
      </w:smartTag>
      <w:r w:rsidR="008578FD" w:rsidRPr="000150E3">
        <w:rPr>
          <w:sz w:val="20"/>
        </w:rPr>
        <w:t xml:space="preserve">, </w:t>
      </w:r>
      <w:smartTag w:uri="urn:schemas-microsoft-com:office:smarttags" w:element="place">
        <w:smartTag w:uri="urn:schemas-microsoft-com:office:smarttags" w:element="City">
          <w:r w:rsidR="008578FD" w:rsidRPr="000150E3">
            <w:rPr>
              <w:sz w:val="20"/>
            </w:rPr>
            <w:t>Corvallis</w:t>
          </w:r>
        </w:smartTag>
        <w:r w:rsidR="008578FD" w:rsidRPr="000150E3">
          <w:rPr>
            <w:sz w:val="20"/>
          </w:rPr>
          <w:t xml:space="preserve">, </w:t>
        </w:r>
        <w:smartTag w:uri="urn:schemas-microsoft-com:office:smarttags" w:element="State">
          <w:r w:rsidR="008578FD" w:rsidRPr="000150E3">
            <w:rPr>
              <w:sz w:val="20"/>
            </w:rPr>
            <w:t>Oregon</w:t>
          </w:r>
        </w:smartTag>
      </w:smartTag>
      <w:r w:rsidR="008578FD" w:rsidRPr="000150E3">
        <w:rPr>
          <w:sz w:val="20"/>
        </w:rPr>
        <w:t>.</w:t>
      </w:r>
    </w:p>
    <w:p w:rsidR="00C0728C" w:rsidRPr="000150E3" w:rsidRDefault="00C0728C" w:rsidP="00B57853">
      <w:pPr>
        <w:jc w:val="left"/>
        <w:rPr>
          <w:sz w:val="20"/>
        </w:rPr>
      </w:pPr>
    </w:p>
    <w:p w:rsidR="00C0728C" w:rsidRPr="000150E3" w:rsidRDefault="009E4042" w:rsidP="00B57853">
      <w:pPr>
        <w:jc w:val="left"/>
        <w:rPr>
          <w:sz w:val="20"/>
        </w:rPr>
      </w:pPr>
      <w:r>
        <w:rPr>
          <w:b/>
          <w:sz w:val="20"/>
        </w:rPr>
        <w:t>Line Drawing Source D</w:t>
      </w:r>
      <w:r w:rsidR="00C0728C" w:rsidRPr="000150E3">
        <w:rPr>
          <w:b/>
          <w:sz w:val="20"/>
        </w:rPr>
        <w:t>ocument:</w:t>
      </w:r>
      <w:r w:rsidR="00C0728C" w:rsidRPr="000150E3">
        <w:rPr>
          <w:sz w:val="20"/>
        </w:rPr>
        <w:t xml:space="preserve"> Douglas, GW, GB Straley, D Meidinger, and J. Pojar.  1999.  </w:t>
      </w:r>
      <w:r w:rsidR="00C0728C" w:rsidRPr="000150E3">
        <w:rPr>
          <w:i/>
          <w:sz w:val="20"/>
        </w:rPr>
        <w:t xml:space="preserve">Illustrated Flora of </w:t>
      </w:r>
      <w:smartTag w:uri="urn:schemas-microsoft-com:office:smarttags" w:element="State">
        <w:smartTag w:uri="urn:schemas-microsoft-com:office:smarttags" w:element="place">
          <w:r w:rsidR="00C0728C" w:rsidRPr="000150E3">
            <w:rPr>
              <w:i/>
              <w:sz w:val="20"/>
            </w:rPr>
            <w:t>British Columbia</w:t>
          </w:r>
        </w:smartTag>
      </w:smartTag>
      <w:r w:rsidR="00C0728C" w:rsidRPr="000150E3">
        <w:rPr>
          <w:i/>
          <w:sz w:val="20"/>
        </w:rPr>
        <w:t xml:space="preserve"> </w:t>
      </w:r>
      <w:r w:rsidR="00C0728C" w:rsidRPr="000150E3">
        <w:rPr>
          <w:sz w:val="20"/>
        </w:rPr>
        <w:t xml:space="preserve">vol.3.  Ministry of Environment, Lands and Parks, </w:t>
      </w:r>
      <w:smartTag w:uri="urn:schemas-microsoft-com:office:smarttags" w:element="place">
        <w:smartTag w:uri="urn:schemas-microsoft-com:office:smarttags" w:element="City">
          <w:r w:rsidR="00C0728C" w:rsidRPr="000150E3">
            <w:rPr>
              <w:sz w:val="20"/>
            </w:rPr>
            <w:t>Victoria</w:t>
          </w:r>
        </w:smartTag>
        <w:r w:rsidR="00C0728C" w:rsidRPr="000150E3">
          <w:rPr>
            <w:sz w:val="20"/>
          </w:rPr>
          <w:t xml:space="preserve">, </w:t>
        </w:r>
        <w:smartTag w:uri="urn:schemas-microsoft-com:office:smarttags" w:element="State">
          <w:r w:rsidR="00C0728C" w:rsidRPr="000150E3">
            <w:rPr>
              <w:sz w:val="20"/>
            </w:rPr>
            <w:t>British Columbia</w:t>
          </w:r>
        </w:smartTag>
      </w:smartTag>
      <w:r w:rsidR="00C0728C" w:rsidRPr="000150E3">
        <w:rPr>
          <w:sz w:val="20"/>
        </w:rPr>
        <w:t>.</w:t>
      </w:r>
    </w:p>
    <w:p w:rsidR="00BE5356" w:rsidRPr="003631C1" w:rsidRDefault="00BE5356" w:rsidP="008578FD">
      <w:pPr>
        <w:pStyle w:val="Header3"/>
      </w:pPr>
    </w:p>
    <w:p w:rsidR="00CD49CC" w:rsidRDefault="0018267D" w:rsidP="00BE5356">
      <w:pPr>
        <w:pStyle w:val="Header4"/>
      </w:pPr>
      <w:r>
        <w:t xml:space="preserve">Edited: </w:t>
      </w:r>
      <w:r w:rsidR="0074161A">
        <w:t>28Jun2007</w:t>
      </w:r>
      <w:r w:rsidR="008578FD">
        <w:t xml:space="preserve"> PG</w:t>
      </w:r>
      <w:r w:rsidR="00EA1D11">
        <w:t>; 07071</w:t>
      </w:r>
      <w:r w:rsidR="00AB65C7">
        <w:t>7</w:t>
      </w:r>
      <w:r w:rsidR="00EA1D11">
        <w:t xml:space="preserve">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8578FD">
          <w:rPr>
            <w:rStyle w:val="Hyperlink"/>
            <w:color w:val="008000"/>
            <w:sz w:val="16"/>
          </w:rPr>
          <w:t>http://plants.usda.gov</w:t>
        </w:r>
      </w:hyperlink>
      <w:r w:rsidRPr="00C36DFB">
        <w:rPr>
          <w:rStyle w:val="Footer1Char"/>
          <w:color w:val="auto"/>
        </w:rPr>
        <w:t>&gt; or the Plant Materials Program Web site &lt;</w:t>
      </w:r>
      <w:hyperlink r:id="rId11" w:history="1">
        <w:r w:rsidRPr="008578FD">
          <w:rPr>
            <w:rStyle w:val="Hyperlink"/>
            <w:color w:val="008000"/>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62818" w:rsidRPr="00FF3A88" w:rsidRDefault="006C47E2" w:rsidP="000A0003">
      <w:pPr>
        <w:pStyle w:val="NormalWeb"/>
      </w:pPr>
      <w:r w:rsidRPr="004E4718">
        <w:rPr>
          <w:rFonts w:ascii="Times New Roman" w:hAnsi="Times New Roman"/>
          <w:sz w:val="16"/>
          <w:szCs w:val="16"/>
        </w:rPr>
        <w:t>Read about</w:t>
      </w:r>
      <w:r w:rsidRPr="00DD41E3">
        <w:t xml:space="preserve">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w:t>
        </w:r>
        <w:r w:rsidR="00005258">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000A0003">
        <w:t>.</w:t>
      </w:r>
      <w:r w:rsidR="00FF3A88" w:rsidRPr="00FF3A88">
        <w:rPr>
          <w:rStyle w:val="Normal"/>
          <w:snapToGrid w:val="0"/>
          <w:w w:val="0"/>
          <w:sz w:val="0"/>
          <w:szCs w:val="0"/>
          <w:u w:color="000000"/>
          <w:bdr w:val="none" w:sz="0" w:space="0" w:color="000000"/>
          <w:shd w:val="clear" w:color="000000" w:fill="000000"/>
          <w:lang/>
        </w:rPr>
        <w:t xml:space="preserve"> </w:t>
      </w:r>
    </w:p>
    <w:sectPr w:rsidR="00D62818" w:rsidRPr="00FF3A88">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C49" w:rsidRDefault="002B0C49">
      <w:r>
        <w:separator/>
      </w:r>
    </w:p>
  </w:endnote>
  <w:endnote w:type="continuationSeparator" w:id="0">
    <w:p w:rsidR="002B0C49" w:rsidRDefault="002B0C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C49" w:rsidRDefault="002B0C49">
      <w:r>
        <w:separator/>
      </w:r>
    </w:p>
  </w:footnote>
  <w:footnote w:type="continuationSeparator" w:id="0">
    <w:p w:rsidR="002B0C49" w:rsidRDefault="002B0C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5810F1">
      <w:rPr>
        <w:noProof/>
      </w:rPr>
      <w:drawing>
        <wp:inline distT="0" distB="0" distL="0" distR="0">
          <wp:extent cx="1647825" cy="61912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05258"/>
    <w:rsid w:val="00006D20"/>
    <w:rsid w:val="000150E3"/>
    <w:rsid w:val="00036229"/>
    <w:rsid w:val="000436E2"/>
    <w:rsid w:val="00056463"/>
    <w:rsid w:val="000578C2"/>
    <w:rsid w:val="0007460A"/>
    <w:rsid w:val="000A0003"/>
    <w:rsid w:val="000E6FC4"/>
    <w:rsid w:val="000F1970"/>
    <w:rsid w:val="001146B3"/>
    <w:rsid w:val="00121607"/>
    <w:rsid w:val="00121A82"/>
    <w:rsid w:val="001503F9"/>
    <w:rsid w:val="00156CD6"/>
    <w:rsid w:val="00166102"/>
    <w:rsid w:val="00171009"/>
    <w:rsid w:val="0018267D"/>
    <w:rsid w:val="0019350E"/>
    <w:rsid w:val="001A1449"/>
    <w:rsid w:val="001C6E25"/>
    <w:rsid w:val="001D076F"/>
    <w:rsid w:val="001D3F0B"/>
    <w:rsid w:val="001D78F7"/>
    <w:rsid w:val="002148DF"/>
    <w:rsid w:val="0026727E"/>
    <w:rsid w:val="002675C1"/>
    <w:rsid w:val="00284422"/>
    <w:rsid w:val="00286FA0"/>
    <w:rsid w:val="002B0C49"/>
    <w:rsid w:val="002B3E3F"/>
    <w:rsid w:val="002B7160"/>
    <w:rsid w:val="002C01B2"/>
    <w:rsid w:val="002C093B"/>
    <w:rsid w:val="002C510E"/>
    <w:rsid w:val="002D7A49"/>
    <w:rsid w:val="00333B36"/>
    <w:rsid w:val="00335E5B"/>
    <w:rsid w:val="003631C1"/>
    <w:rsid w:val="00367B36"/>
    <w:rsid w:val="00375E14"/>
    <w:rsid w:val="00377934"/>
    <w:rsid w:val="003A2960"/>
    <w:rsid w:val="003E064E"/>
    <w:rsid w:val="003F1973"/>
    <w:rsid w:val="004052E3"/>
    <w:rsid w:val="0040539A"/>
    <w:rsid w:val="004340C9"/>
    <w:rsid w:val="00437F11"/>
    <w:rsid w:val="0048681A"/>
    <w:rsid w:val="00497AE7"/>
    <w:rsid w:val="004B53AE"/>
    <w:rsid w:val="004B7357"/>
    <w:rsid w:val="004D34B0"/>
    <w:rsid w:val="004E4718"/>
    <w:rsid w:val="004F0A5F"/>
    <w:rsid w:val="00521D04"/>
    <w:rsid w:val="0053489D"/>
    <w:rsid w:val="005810F1"/>
    <w:rsid w:val="00592CFA"/>
    <w:rsid w:val="005949E4"/>
    <w:rsid w:val="006631A2"/>
    <w:rsid w:val="00667542"/>
    <w:rsid w:val="00682A10"/>
    <w:rsid w:val="006A7F33"/>
    <w:rsid w:val="006C47E2"/>
    <w:rsid w:val="006E5F7B"/>
    <w:rsid w:val="00717F00"/>
    <w:rsid w:val="00741185"/>
    <w:rsid w:val="0074161A"/>
    <w:rsid w:val="00742DE3"/>
    <w:rsid w:val="007C52E4"/>
    <w:rsid w:val="007F1B47"/>
    <w:rsid w:val="007F678B"/>
    <w:rsid w:val="008455BA"/>
    <w:rsid w:val="008578FD"/>
    <w:rsid w:val="0089476C"/>
    <w:rsid w:val="008C7306"/>
    <w:rsid w:val="008F3D5A"/>
    <w:rsid w:val="00942547"/>
    <w:rsid w:val="00955302"/>
    <w:rsid w:val="009A0E7A"/>
    <w:rsid w:val="009B5272"/>
    <w:rsid w:val="009C10B0"/>
    <w:rsid w:val="009D5F78"/>
    <w:rsid w:val="009E4042"/>
    <w:rsid w:val="00A43227"/>
    <w:rsid w:val="00A67F58"/>
    <w:rsid w:val="00A73BFC"/>
    <w:rsid w:val="00AA14C2"/>
    <w:rsid w:val="00AB5C79"/>
    <w:rsid w:val="00AB65C7"/>
    <w:rsid w:val="00AF2202"/>
    <w:rsid w:val="00B0669A"/>
    <w:rsid w:val="00B07BD5"/>
    <w:rsid w:val="00B21459"/>
    <w:rsid w:val="00B55E68"/>
    <w:rsid w:val="00B57853"/>
    <w:rsid w:val="00B730E7"/>
    <w:rsid w:val="00B8425D"/>
    <w:rsid w:val="00BD169B"/>
    <w:rsid w:val="00BE5356"/>
    <w:rsid w:val="00C03EA7"/>
    <w:rsid w:val="00C0728C"/>
    <w:rsid w:val="00C36DFB"/>
    <w:rsid w:val="00C86821"/>
    <w:rsid w:val="00CA092E"/>
    <w:rsid w:val="00CD49CC"/>
    <w:rsid w:val="00CF7EC1"/>
    <w:rsid w:val="00D61972"/>
    <w:rsid w:val="00D62818"/>
    <w:rsid w:val="00D707F5"/>
    <w:rsid w:val="00D7372A"/>
    <w:rsid w:val="00D82E30"/>
    <w:rsid w:val="00DC7C36"/>
    <w:rsid w:val="00E04348"/>
    <w:rsid w:val="00E057E4"/>
    <w:rsid w:val="00E12F73"/>
    <w:rsid w:val="00EA1D11"/>
    <w:rsid w:val="00EA5D73"/>
    <w:rsid w:val="00EF7390"/>
    <w:rsid w:val="00F0411C"/>
    <w:rsid w:val="00F202B5"/>
    <w:rsid w:val="00F3315B"/>
    <w:rsid w:val="00F71BD0"/>
    <w:rsid w:val="00F802DB"/>
    <w:rsid w:val="00FB3AE1"/>
    <w:rsid w:val="00FD2879"/>
    <w:rsid w:val="00FD5F70"/>
    <w:rsid w:val="00FF3A88"/>
    <w:rsid w:val="00FF69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AA14C2"/>
    <w:rPr>
      <w:i/>
      <w:iCs/>
    </w:rPr>
  </w:style>
  <w:style w:type="paragraph" w:styleId="BalloonText">
    <w:name w:val="Balloon Text"/>
    <w:basedOn w:val="Normal"/>
    <w:semiHidden/>
    <w:rsid w:val="002C01B2"/>
    <w:rPr>
      <w:rFonts w:ascii="Tahoma" w:hAnsi="Tahoma" w:cs="Tahoma"/>
      <w:sz w:val="16"/>
      <w:szCs w:val="16"/>
    </w:rPr>
  </w:style>
  <w:style w:type="paragraph" w:styleId="DocumentMap">
    <w:name w:val="Document Map"/>
    <w:basedOn w:val="Normal"/>
    <w:semiHidden/>
    <w:rsid w:val="008578FD"/>
    <w:pPr>
      <w:shd w:val="clear" w:color="auto" w:fill="000080"/>
    </w:pPr>
    <w:rPr>
      <w:rFonts w:ascii="Tahoma" w:hAnsi="Tahoma" w:cs="Tahoma"/>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Pacific ninebark</vt:lpstr>
    </vt:vector>
  </TitlesOfParts>
  <Company>USDA NRCS National Plant Data Center</Company>
  <LinksUpToDate>false</LinksUpToDate>
  <CharactersWithSpaces>6570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Pacific ninebark</dc:title>
  <dc:subject>Physocarpus capitatus</dc:subject>
  <dc:creator>J. Scott Peterson</dc:creator>
  <cp:keywords/>
  <cp:lastModifiedBy>William Farrell</cp:lastModifiedBy>
  <cp:revision>2</cp:revision>
  <cp:lastPrinted>2007-03-12T20:35:00Z</cp:lastPrinted>
  <dcterms:created xsi:type="dcterms:W3CDTF">2011-01-25T17:49:00Z</dcterms:created>
  <dcterms:modified xsi:type="dcterms:W3CDTF">2011-01-25T17:49:00Z</dcterms:modified>
</cp:coreProperties>
</file>