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D6359" w:rsidP="000578C2">
            <w:pPr>
              <w:pStyle w:val="TitleHeader"/>
              <w:rPr>
                <w:i/>
              </w:rPr>
            </w:pPr>
            <w:r>
              <w:lastRenderedPageBreak/>
              <w:t>mapleleaf viburnum</w:t>
            </w:r>
          </w:p>
        </w:tc>
      </w:tr>
      <w:tr w:rsidR="00CD49CC">
        <w:tblPrEx>
          <w:tblCellMar>
            <w:top w:w="0" w:type="dxa"/>
            <w:bottom w:w="0" w:type="dxa"/>
          </w:tblCellMar>
        </w:tblPrEx>
        <w:tc>
          <w:tcPr>
            <w:tcW w:w="4410" w:type="dxa"/>
          </w:tcPr>
          <w:p w:rsidR="00CD49CC" w:rsidRPr="008F3D5A" w:rsidRDefault="00DD6359" w:rsidP="008F3D5A">
            <w:pPr>
              <w:pStyle w:val="Titlesubheader1"/>
              <w:rPr>
                <w:i/>
              </w:rPr>
            </w:pPr>
            <w:r>
              <w:rPr>
                <w:i/>
              </w:rPr>
              <w:t>Viburnum acerifolium</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DD6359">
              <w:t>VIAC</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Name">
        <w:r w:rsidR="00DD6359">
          <w:t>USDA</w:t>
        </w:r>
      </w:smartTag>
      <w:r w:rsidR="00DD6359">
        <w:t xml:space="preserve"> </w:t>
      </w:r>
      <w:smartTag w:uri="urn:schemas-microsoft-com:office:smarttags" w:element="PlaceName">
        <w:r w:rsidR="00DD6359">
          <w:t>NRCS</w:t>
        </w:r>
      </w:smartTag>
      <w:r w:rsidR="00DD6359">
        <w:t xml:space="preserve"> </w:t>
      </w:r>
      <w:smartTag w:uri="urn:schemas-microsoft-com:office:smarttags" w:element="PlaceName">
        <w:r w:rsidR="00DD6359">
          <w:t>National</w:t>
        </w:r>
      </w:smartTag>
      <w:r w:rsidR="00DD6359">
        <w:t xml:space="preserve"> </w:t>
      </w:r>
      <w:smartTag w:uri="urn:schemas-microsoft-com:office:smarttags" w:element="PlaceName">
        <w:r w:rsidR="00DD6359">
          <w:t>Plant</w:t>
        </w:r>
      </w:smartTag>
      <w:r w:rsidR="00DD6359">
        <w:t xml:space="preserve"> </w:t>
      </w:r>
      <w:smartTag w:uri="urn:schemas-microsoft-com:office:smarttags" w:element="PlaceName">
        <w:r w:rsidR="00DD6359">
          <w:t>Data</w:t>
        </w:r>
      </w:smartTag>
      <w:r w:rsidR="00DD6359">
        <w:t xml:space="preserve"> </w:t>
      </w:r>
      <w:smartTag w:uri="urn:schemas-microsoft-com:office:smarttags" w:element="PlaceType">
        <w:r w:rsidR="00DD6359">
          <w:t>Center</w:t>
        </w:r>
      </w:smartTag>
      <w:r w:rsidR="00DD6359">
        <w:t xml:space="preserve"> &amp; the Biota of </w:t>
      </w:r>
      <w:smartTag w:uri="urn:schemas-microsoft-com:office:smarttags" w:element="place">
        <w:r w:rsidR="00DD6359">
          <w:t>North America</w:t>
        </w:r>
      </w:smartTag>
      <w:r w:rsidR="00DD6359">
        <w:t xml:space="preserve"> Program</w:t>
      </w:r>
    </w:p>
    <w:p w:rsidR="004F0A5F" w:rsidRPr="003631C1" w:rsidRDefault="004F0A5F" w:rsidP="00F802DB">
      <w:pPr>
        <w:pStyle w:val="Header2"/>
        <w:rPr>
          <w:i w:val="0"/>
        </w:rPr>
      </w:pPr>
    </w:p>
    <w:p w:rsidR="00DD6359" w:rsidRDefault="00DD6359" w:rsidP="00DD6359">
      <w:pPr>
        <w:pStyle w:val="Header3"/>
      </w:pPr>
      <w:r>
        <w:t>Alternate Names</w:t>
      </w:r>
    </w:p>
    <w:p w:rsidR="00DD6359" w:rsidRDefault="00DD6359" w:rsidP="00DD6359">
      <w:pPr>
        <w:pStyle w:val="Bodytext0"/>
      </w:pPr>
      <w:r>
        <w:t>Maple-leaf viburnum, maple-leaved arrow-wood,</w:t>
      </w:r>
    </w:p>
    <w:p w:rsidR="00DD6359" w:rsidRDefault="00DD6359" w:rsidP="00DD6359">
      <w:pPr>
        <w:pStyle w:val="Bodytext0"/>
      </w:pPr>
      <w:r>
        <w:t>dockmackie, guelder-rose, possum-haw, squash-berry</w:t>
      </w:r>
    </w:p>
    <w:p w:rsidR="00DD6359" w:rsidRDefault="00DD6359" w:rsidP="00DD6359">
      <w:pPr>
        <w:tabs>
          <w:tab w:val="left" w:pos="2430"/>
        </w:tabs>
      </w:pPr>
    </w:p>
    <w:p w:rsidR="00DD6359" w:rsidRDefault="00DD6359" w:rsidP="00DD6359">
      <w:pPr>
        <w:pStyle w:val="Header3"/>
      </w:pPr>
      <w:r>
        <w:t>Uses</w:t>
      </w:r>
    </w:p>
    <w:p w:rsidR="00DD6359" w:rsidRDefault="00DD6359" w:rsidP="00DD6359">
      <w:pPr>
        <w:pStyle w:val="Bodytext0"/>
      </w:pPr>
      <w:r>
        <w:t xml:space="preserve">Landscape: Mapleleaf viburnum is a native, thicket-forming shrub long cultivated for its good seasonal displays of creamy flowers, attractive summer leaves, dark mature fruits and reddish-purple fall color.  It is adaptable to a wide range of light and soil conditions, is an excellent choice for dry soils in deep shade, and is useful for naturalizing along forest edges, streamsides and lakeshores. </w:t>
      </w:r>
    </w:p>
    <w:p w:rsidR="00DD6359" w:rsidRDefault="00DD6359" w:rsidP="00DD6359">
      <w:pPr>
        <w:pStyle w:val="Bodytext0"/>
      </w:pPr>
      <w:r>
        <w:rPr>
          <w:i/>
        </w:rPr>
        <w:t xml:space="preserve">Wildlife: </w:t>
      </w:r>
      <w:r>
        <w:t>Mature fruits are eaten by a variety of wildlife including mammals, game birds and many species of songbirds.  Its low-growing habit provides good nesting and escape cover for birds and small mammals.</w:t>
      </w:r>
    </w:p>
    <w:p w:rsidR="00DD6359" w:rsidRDefault="00DD6359" w:rsidP="00DD6359">
      <w:pPr>
        <w:tabs>
          <w:tab w:val="left" w:pos="2430"/>
        </w:tabs>
      </w:pPr>
    </w:p>
    <w:p w:rsidR="00DD6359" w:rsidRDefault="00DD6359" w:rsidP="00DD6359">
      <w:pPr>
        <w:pStyle w:val="Header3"/>
      </w:pPr>
      <w:r>
        <w:t>Status</w:t>
      </w:r>
    </w:p>
    <w:p w:rsidR="00DD6359" w:rsidRDefault="00DD6359" w:rsidP="00DD6359">
      <w:pPr>
        <w:pStyle w:val="Bodytext0"/>
      </w:pPr>
      <w:r>
        <w:t>Please consult the PLANTS Web site and your State Department of Natural Resources for this plant’s current status (e.g. threatened or endangered species, state noxious status, and wetland indicator values).</w:t>
      </w:r>
    </w:p>
    <w:p w:rsidR="00DD6359" w:rsidRDefault="00DD6359" w:rsidP="00DD6359">
      <w:pPr>
        <w:tabs>
          <w:tab w:val="left" w:pos="2430"/>
        </w:tabs>
        <w:rPr>
          <w:b/>
        </w:rPr>
      </w:pPr>
    </w:p>
    <w:p w:rsidR="00DD6359" w:rsidRDefault="00DD6359" w:rsidP="00DD6359">
      <w:pPr>
        <w:pStyle w:val="BodyTextIndent"/>
        <w:ind w:left="0"/>
        <w:rPr>
          <w:sz w:val="24"/>
        </w:rPr>
      </w:pPr>
    </w:p>
    <w:p w:rsidR="00DD6359" w:rsidRDefault="00DD6359" w:rsidP="00DD6359">
      <w:pPr>
        <w:pStyle w:val="Header3"/>
      </w:pPr>
      <w:r>
        <w:lastRenderedPageBreak/>
        <w:t>Description</w:t>
      </w:r>
    </w:p>
    <w:p w:rsidR="00DD6359" w:rsidRDefault="00DD6359" w:rsidP="00DD6359">
      <w:pPr>
        <w:pStyle w:val="Bodytext0"/>
      </w:pPr>
      <w:r>
        <w:rPr>
          <w:i/>
          <w:noProof/>
        </w:rPr>
        <w:pict>
          <v:shapetype id="_x0000_t202" coordsize="21600,21600" o:spt="202" path="m,l,21600r21600,l21600,xe">
            <v:stroke joinstyle="miter"/>
            <v:path gradientshapeok="t" o:connecttype="rect"/>
          </v:shapetype>
          <v:shape id="_x0000_s1065" type="#_x0000_t202" style="position:absolute;margin-left:4.05pt;margin-top:-324.1pt;width:194.4pt;height:151.2pt;z-index:251657728" stroked="f">
            <v:textbox>
              <w:txbxContent>
                <w:p w:rsidR="00DD6359" w:rsidRDefault="00D4513F" w:rsidP="00DD6359">
                  <w:r>
                    <w:rPr>
                      <w:noProof/>
                    </w:rPr>
                    <w:drawing>
                      <wp:inline distT="0" distB="0" distL="0" distR="0">
                        <wp:extent cx="2286000" cy="1524000"/>
                        <wp:effectExtent l="19050" t="0" r="0" b="0"/>
                        <wp:docPr id="2" name="Picture 2" descr="Color image of Mapleleaf Viburnum (Viburnum acerifol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Mapleleaf Viburnum (Viburnum acerifolium)"/>
                                <pic:cNvPicPr>
                                  <a:picLocks noChangeAspect="1" noChangeArrowheads="1"/>
                                </pic:cNvPicPr>
                              </pic:nvPicPr>
                              <pic:blipFill>
                                <a:blip r:embed="rId8"/>
                                <a:srcRect/>
                                <a:stretch>
                                  <a:fillRect/>
                                </a:stretch>
                              </pic:blipFill>
                              <pic:spPr bwMode="auto">
                                <a:xfrm>
                                  <a:off x="0" y="0"/>
                                  <a:ext cx="2286000" cy="1524000"/>
                                </a:xfrm>
                                <a:prstGeom prst="rect">
                                  <a:avLst/>
                                </a:prstGeom>
                                <a:noFill/>
                                <a:ln w="9525">
                                  <a:noFill/>
                                  <a:miter lim="800000"/>
                                  <a:headEnd/>
                                  <a:tailEnd/>
                                </a:ln>
                              </pic:spPr>
                            </pic:pic>
                          </a:graphicData>
                        </a:graphic>
                      </wp:inline>
                    </w:drawing>
                  </w:r>
                </w:p>
                <w:p w:rsidR="00DD6359" w:rsidRDefault="00DD6359" w:rsidP="00DD6359">
                  <w:pPr>
                    <w:pStyle w:val="Header4"/>
                    <w:jc w:val="right"/>
                  </w:pPr>
                  <w:r>
                    <w:t>Botany Dept., NMNH, Smithsonian Institution</w:t>
                  </w:r>
                </w:p>
                <w:p w:rsidR="00DD6359" w:rsidRDefault="00DD6359" w:rsidP="00DD6359">
                  <w:pPr>
                    <w:pStyle w:val="Header4"/>
                    <w:jc w:val="right"/>
                  </w:pPr>
                  <w:r>
                    <w:t>@ PLANTS</w:t>
                  </w:r>
                </w:p>
              </w:txbxContent>
            </v:textbox>
            <w10:wrap type="topAndBottom"/>
          </v:shape>
        </w:pict>
      </w:r>
      <w:r>
        <w:rPr>
          <w:i/>
        </w:rPr>
        <w:t>V. acerfolium</w:t>
      </w:r>
      <w:r>
        <w:t xml:space="preserve"> is a native, thicket-forming shrub, 4 to 6 feet high and 3 to 4 feet wide.  Twigs are pubescent (hairy).  Leaves are deciduous and 2-5 inches wide, and most are deeply 3-lobed with coarse teeth on the margins.  Lower leaf surfaces have minute black dots, and are nearly smooth to thinly stellate (having star-like tufted hairs).  Small creamy-white, bisexual flowers in upright, flat-topped clusters 1-3 inches wide appear May through August.  The 1/3-inch to 1/2-inch berry-like drupes are nearly black and appear July through October, often persisting into winter.  </w:t>
      </w:r>
    </w:p>
    <w:p w:rsidR="00DD6359" w:rsidRDefault="00DD6359" w:rsidP="00DD6359">
      <w:pPr>
        <w:rPr>
          <w:sz w:val="20"/>
        </w:rPr>
      </w:pPr>
    </w:p>
    <w:p w:rsidR="00DD6359" w:rsidRDefault="00DD6359" w:rsidP="00DD6359">
      <w:pPr>
        <w:pStyle w:val="Header3"/>
      </w:pPr>
      <w:r>
        <w:t>Adaptation and Distribution</w:t>
      </w:r>
    </w:p>
    <w:p w:rsidR="00DD6359" w:rsidRDefault="00DD6359" w:rsidP="00DD6359">
      <w:pPr>
        <w:pStyle w:val="Bodytext0"/>
      </w:pPr>
      <w:r>
        <w:t xml:space="preserve">Mapleleaf viburnum occurs natively on hillsides and ravine slopes, as an understory shrub in upland beech-maple forests of the Northeast and </w:t>
      </w:r>
      <w:smartTag w:uri="urn:schemas-microsoft-com:office:smarttags" w:element="place">
        <w:r>
          <w:t>Midwest</w:t>
        </w:r>
      </w:smartTag>
      <w:r>
        <w:t xml:space="preserve">, and in rich deciduous woods along the Gulf coastal plain.  Optimum growth occurs in well-drained, moist soils, with partial shading; however, </w:t>
      </w:r>
      <w:r>
        <w:rPr>
          <w:i/>
        </w:rPr>
        <w:t>V</w:t>
      </w:r>
      <w:r>
        <w:t xml:space="preserve">. </w:t>
      </w:r>
      <w:r>
        <w:rPr>
          <w:i/>
        </w:rPr>
        <w:t>acerfolium</w:t>
      </w:r>
      <w:r>
        <w:t xml:space="preserve"> is tolerant of acid soils, dry sites and deep shade. </w:t>
      </w:r>
    </w:p>
    <w:p w:rsidR="00DD6359" w:rsidRDefault="00DD6359" w:rsidP="00DD6359">
      <w:pPr>
        <w:pStyle w:val="Bodytext0"/>
      </w:pPr>
    </w:p>
    <w:p w:rsidR="00DD6359" w:rsidRDefault="00DD6359" w:rsidP="00DD6359">
      <w:pPr>
        <w:jc w:val="left"/>
        <w:rPr>
          <w:sz w:val="20"/>
        </w:rPr>
      </w:pPr>
      <w:r>
        <w:rPr>
          <w:sz w:val="20"/>
        </w:rPr>
        <w:t xml:space="preserve">Mapleleaf viburnum is distributed throughout the East.  </w:t>
      </w:r>
      <w:r w:rsidRPr="00521044">
        <w:rPr>
          <w:sz w:val="20"/>
        </w:rPr>
        <w:t>For a current distribution map, please consult the Plan</w:t>
      </w:r>
      <w:r>
        <w:rPr>
          <w:sz w:val="20"/>
        </w:rPr>
        <w:t>t Profile page for this species</w:t>
      </w:r>
      <w:r w:rsidRPr="00521044">
        <w:rPr>
          <w:sz w:val="20"/>
        </w:rPr>
        <w:t xml:space="preserve"> on the PLANTS Website.</w:t>
      </w:r>
    </w:p>
    <w:p w:rsidR="00DD6359" w:rsidRDefault="00DD6359" w:rsidP="00DD6359">
      <w:pPr>
        <w:pStyle w:val="Bodytext0"/>
      </w:pPr>
    </w:p>
    <w:p w:rsidR="00DD6359" w:rsidRDefault="00DD6359" w:rsidP="00DD6359">
      <w:pPr>
        <w:pStyle w:val="Header3"/>
      </w:pPr>
      <w:r>
        <w:t>Establishment</w:t>
      </w:r>
    </w:p>
    <w:p w:rsidR="00DD6359" w:rsidRDefault="00DD6359" w:rsidP="00DD6359">
      <w:pPr>
        <w:pStyle w:val="Bodytext0"/>
      </w:pPr>
      <w:r>
        <w:t>Mapleleaf viburnum produces abundant fruit and seed yearly beginning at about 2-3 years of age.  Most seeds have an impermeable seedcoat and embryo dormancy that requires a warm-cold stratification sequence for germination.  The plant may prove difficult to propagate from seed.  Vegetative reproduction is through rhizomes, or softwood cuttings (Dirr and Heuser, 1987).</w:t>
      </w:r>
    </w:p>
    <w:p w:rsidR="00DD6359" w:rsidRDefault="00DD6359" w:rsidP="00DD6359">
      <w:pPr>
        <w:tabs>
          <w:tab w:val="left" w:pos="2430"/>
        </w:tabs>
      </w:pPr>
    </w:p>
    <w:p w:rsidR="00DD6359" w:rsidRDefault="00DD6359" w:rsidP="00DD6359">
      <w:pPr>
        <w:pStyle w:val="Header3"/>
        <w:rPr>
          <w:rFonts w:ascii="Arial" w:hAnsi="Arial"/>
        </w:rPr>
      </w:pPr>
      <w:r>
        <w:t>Management</w:t>
      </w:r>
    </w:p>
    <w:p w:rsidR="00DD6359" w:rsidRDefault="00DD6359" w:rsidP="00DD6359">
      <w:pPr>
        <w:pStyle w:val="Bodytext0"/>
      </w:pPr>
      <w:r>
        <w:t xml:space="preserve">The plant’s suckering habit forms open colonies and it is best in a naturalized setting.  In the native landscape, </w:t>
      </w:r>
      <w:r>
        <w:rPr>
          <w:i/>
        </w:rPr>
        <w:t xml:space="preserve">V. acerfolium </w:t>
      </w:r>
      <w:r>
        <w:t>may be damaged and decreased by repeated exposure to fires.</w:t>
      </w:r>
    </w:p>
    <w:p w:rsidR="00DD6359" w:rsidRDefault="00DD6359" w:rsidP="00DD6359">
      <w:pPr>
        <w:tabs>
          <w:tab w:val="left" w:pos="2430"/>
        </w:tabs>
      </w:pPr>
    </w:p>
    <w:p w:rsidR="00DD6359" w:rsidRDefault="00DD6359" w:rsidP="00DD6359">
      <w:pPr>
        <w:pStyle w:val="Header3"/>
      </w:pPr>
      <w:r>
        <w:t>Pests and Potential Problems</w:t>
      </w:r>
    </w:p>
    <w:p w:rsidR="00DD6359" w:rsidRDefault="00DD6359" w:rsidP="00DD6359">
      <w:pPr>
        <w:pStyle w:val="Bodytext0"/>
      </w:pPr>
      <w:r>
        <w:t>The viburnum leaf beetle</w:t>
      </w:r>
      <w:r>
        <w:rPr>
          <w:i/>
        </w:rPr>
        <w:t xml:space="preserve"> (Pyrrhalta viburni</w:t>
      </w:r>
      <w:r>
        <w:t xml:space="preserve">) was introduced from Europe and Asia to North America around 1947 and first became a problem in </w:t>
      </w:r>
      <w:smartTag w:uri="urn:schemas-microsoft-com:office:smarttags" w:element="place">
        <w:smartTag w:uri="urn:schemas-microsoft-com:office:smarttags" w:element="country-region">
          <w:r>
            <w:t>Canada</w:t>
          </w:r>
        </w:smartTag>
      </w:smartTag>
      <w:r>
        <w:t xml:space="preserve"> in 1978.  It has now moved to the northeastern </w:t>
      </w:r>
      <w:smartTag w:uri="urn:schemas-microsoft-com:office:smarttags" w:element="place">
        <w:smartTag w:uri="urn:schemas-microsoft-com:office:smarttags" w:element="country-region">
          <w:r>
            <w:t>United States</w:t>
          </w:r>
        </w:smartTag>
      </w:smartTag>
      <w:r>
        <w:t xml:space="preserve"> where it is a concern in urban landscapes and nurseries.  </w:t>
      </w:r>
      <w:r>
        <w:rPr>
          <w:i/>
        </w:rPr>
        <w:t>Viburnum acerfolium</w:t>
      </w:r>
      <w:r>
        <w:t xml:space="preserve"> leaves can be damaged or skeletonized by the beetle adults and </w:t>
      </w:r>
      <w:r>
        <w:lastRenderedPageBreak/>
        <w:t xml:space="preserve">larvae, though </w:t>
      </w:r>
      <w:r>
        <w:rPr>
          <w:i/>
        </w:rPr>
        <w:t>Viburnum opulus</w:t>
      </w:r>
      <w:r>
        <w:t xml:space="preserve"> appears to be the insect’s preferred host and is most seriously affected.  The beetle larvae hatch in early May, feed for about 4-5 weeks then pupate in the soil.  Adults emerge by mid-July, feed, mate, and lay over-wintering eggs in a straight line on viburnum twigs.  The over-wintering eggs should be pruned out and destroyed before hatching.  Chemical control is best applied to young larvae, which feed on both upper and lower leaf surfaces. </w:t>
      </w:r>
    </w:p>
    <w:p w:rsidR="00DD6359" w:rsidRDefault="00DD6359" w:rsidP="00DD6359">
      <w:pPr>
        <w:tabs>
          <w:tab w:val="left" w:pos="2430"/>
        </w:tabs>
      </w:pPr>
    </w:p>
    <w:p w:rsidR="00DD6359" w:rsidRDefault="00DD6359" w:rsidP="00DD6359">
      <w:pPr>
        <w:pStyle w:val="Header3"/>
      </w:pPr>
      <w:r>
        <w:t>Cultivars, Improved, and Selected Materials (and area of origin)</w:t>
      </w:r>
    </w:p>
    <w:p w:rsidR="00DD6359" w:rsidRDefault="00DD6359" w:rsidP="00DD6359">
      <w:pPr>
        <w:pStyle w:val="Bodytext0"/>
      </w:pPr>
      <w:r>
        <w:rPr>
          <w:i/>
        </w:rPr>
        <w:t>V. acerfolium</w:t>
      </w:r>
      <w:r>
        <w:t xml:space="preserve"> cultivars are not readily available.</w:t>
      </w:r>
    </w:p>
    <w:p w:rsidR="00DD6359" w:rsidRDefault="00DD6359" w:rsidP="00DD6359">
      <w:pPr>
        <w:pStyle w:val="Header"/>
        <w:tabs>
          <w:tab w:val="clear" w:pos="4320"/>
          <w:tab w:val="clear" w:pos="8640"/>
          <w:tab w:val="left" w:pos="2430"/>
        </w:tabs>
      </w:pPr>
    </w:p>
    <w:p w:rsidR="00DD6359" w:rsidRDefault="00DD6359" w:rsidP="00DD6359">
      <w:pPr>
        <w:pStyle w:val="Header3"/>
      </w:pPr>
      <w:r>
        <w:t xml:space="preserve">Prepared By: </w:t>
      </w:r>
    </w:p>
    <w:p w:rsidR="00DD6359" w:rsidRDefault="00DD6359" w:rsidP="00DD6359">
      <w:pPr>
        <w:pStyle w:val="Header2"/>
      </w:pPr>
      <w:r>
        <w:t>Guy Nesom</w:t>
      </w:r>
    </w:p>
    <w:p w:rsidR="00DD6359" w:rsidRDefault="00DD6359" w:rsidP="00DD6359">
      <w:pPr>
        <w:pStyle w:val="Bodytext0"/>
      </w:pPr>
      <w:r>
        <w:t>Formerly BONAP, North Carolina Botanical Garden, University of North Carolina, Chapel Hill, North Carolina</w:t>
      </w:r>
    </w:p>
    <w:p w:rsidR="00DD6359" w:rsidRDefault="00DD6359" w:rsidP="00DD6359">
      <w:pPr>
        <w:pStyle w:val="Heading5"/>
        <w:ind w:left="0"/>
        <w:rPr>
          <w:sz w:val="24"/>
        </w:rPr>
      </w:pPr>
    </w:p>
    <w:p w:rsidR="00DD6359" w:rsidRDefault="00DD6359" w:rsidP="00DD6359">
      <w:pPr>
        <w:pStyle w:val="Header2"/>
      </w:pPr>
      <w:r>
        <w:t>Kathy Davis</w:t>
      </w:r>
    </w:p>
    <w:p w:rsidR="00DD6359" w:rsidRDefault="00DD6359" w:rsidP="00DD6359">
      <w:pPr>
        <w:pStyle w:val="Bodytext0"/>
      </w:pPr>
      <w:r>
        <w:t xml:space="preserve">USDA,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p w:rsidR="00DD6359" w:rsidRDefault="00DD6359" w:rsidP="00DD6359">
      <w:pPr>
        <w:pStyle w:val="Header"/>
        <w:tabs>
          <w:tab w:val="clear" w:pos="4320"/>
          <w:tab w:val="clear" w:pos="8640"/>
        </w:tabs>
      </w:pPr>
    </w:p>
    <w:p w:rsidR="00DD6359" w:rsidRDefault="00DD6359" w:rsidP="00DD6359">
      <w:pPr>
        <w:pStyle w:val="Header3"/>
      </w:pPr>
      <w:r>
        <w:t xml:space="preserve">Species Coordinator: </w:t>
      </w:r>
    </w:p>
    <w:p w:rsidR="00DD6359" w:rsidRDefault="00DD6359" w:rsidP="00DD6359">
      <w:pPr>
        <w:pStyle w:val="Header2"/>
      </w:pPr>
      <w:r>
        <w:t>Gerald Guala</w:t>
      </w:r>
    </w:p>
    <w:p w:rsidR="00DD6359" w:rsidRDefault="00DD6359" w:rsidP="00DD6359">
      <w:pPr>
        <w:pStyle w:val="Bodytext0"/>
      </w:pPr>
      <w:r>
        <w:t xml:space="preserve">USDA, NRCS,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DD6359" w:rsidRDefault="00DD6359" w:rsidP="00DD6359">
      <w:pPr>
        <w:pStyle w:val="Header"/>
        <w:tabs>
          <w:tab w:val="clear" w:pos="4320"/>
          <w:tab w:val="clear" w:pos="8640"/>
        </w:tabs>
        <w:rPr>
          <w:sz w:val="16"/>
        </w:rPr>
      </w:pPr>
    </w:p>
    <w:p w:rsidR="00DD6359" w:rsidRDefault="00DD6359" w:rsidP="00DD6359">
      <w:pPr>
        <w:pStyle w:val="Header4"/>
      </w:pPr>
      <w:r>
        <w:t>Edited 25Jul2002 JLK; 060818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5CA6" w:rsidRDefault="00615CA6">
      <w:r>
        <w:separator/>
      </w:r>
    </w:p>
  </w:endnote>
  <w:endnote w:type="continuationSeparator" w:id="0">
    <w:p w:rsidR="00615CA6" w:rsidRDefault="00615C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5CA6" w:rsidRDefault="00615CA6">
      <w:r>
        <w:separator/>
      </w:r>
    </w:p>
  </w:footnote>
  <w:footnote w:type="continuationSeparator" w:id="0">
    <w:p w:rsidR="00615CA6" w:rsidRDefault="00615C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D4513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1F738C"/>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15CA6"/>
    <w:rsid w:val="006631A2"/>
    <w:rsid w:val="006C47E2"/>
    <w:rsid w:val="006D0462"/>
    <w:rsid w:val="006E5F7B"/>
    <w:rsid w:val="00740909"/>
    <w:rsid w:val="00741185"/>
    <w:rsid w:val="00742DE3"/>
    <w:rsid w:val="007C52E4"/>
    <w:rsid w:val="007F678B"/>
    <w:rsid w:val="008455BA"/>
    <w:rsid w:val="008F3D5A"/>
    <w:rsid w:val="00955302"/>
    <w:rsid w:val="009A0E7A"/>
    <w:rsid w:val="009B6ED3"/>
    <w:rsid w:val="009C10B0"/>
    <w:rsid w:val="009D5F78"/>
    <w:rsid w:val="00A36BD0"/>
    <w:rsid w:val="00B0669A"/>
    <w:rsid w:val="00B55E68"/>
    <w:rsid w:val="00B730E7"/>
    <w:rsid w:val="00B8425D"/>
    <w:rsid w:val="00BE5356"/>
    <w:rsid w:val="00C36DFB"/>
    <w:rsid w:val="00C86821"/>
    <w:rsid w:val="00CD49CC"/>
    <w:rsid w:val="00CF7EC1"/>
    <w:rsid w:val="00D4513F"/>
    <w:rsid w:val="00D62818"/>
    <w:rsid w:val="00D82E30"/>
    <w:rsid w:val="00DC7C36"/>
    <w:rsid w:val="00DD6359"/>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DD6359"/>
    <w:rPr>
      <w:b/>
      <w:lang w:val="en-US" w:eastAsia="en-US" w:bidi="ar-SA"/>
    </w:rPr>
  </w:style>
  <w:style w:type="character" w:customStyle="1" w:styleId="Header3Char">
    <w:name w:val="Header 3 Char"/>
    <w:basedOn w:val="Heading5Char"/>
    <w:link w:val="Header3"/>
    <w:rsid w:val="00DD6359"/>
    <w:rPr>
      <w:bCs/>
    </w:rPr>
  </w:style>
  <w:style w:type="character" w:customStyle="1" w:styleId="Header4Char">
    <w:name w:val="Header 4 Char"/>
    <w:basedOn w:val="Heading5Char"/>
    <w:link w:val="Header4"/>
    <w:rsid w:val="00DD6359"/>
    <w:rPr>
      <w:sz w:val="14"/>
    </w:rPr>
  </w:style>
  <w:style w:type="character" w:customStyle="1" w:styleId="HeaderChar">
    <w:name w:val="Header Char"/>
    <w:basedOn w:val="DefaultParagraphFont"/>
    <w:link w:val="Header"/>
    <w:rsid w:val="00DD6359"/>
    <w:rPr>
      <w:sz w:val="24"/>
      <w:lang w:val="en-US" w:eastAsia="en-US" w:bidi="ar-SA"/>
    </w:rPr>
  </w:style>
  <w:style w:type="character" w:customStyle="1" w:styleId="Header2Char">
    <w:name w:val="Header 2 Char"/>
    <w:basedOn w:val="HeaderChar"/>
    <w:link w:val="Header2"/>
    <w:rsid w:val="00DD6359"/>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MAPLELEAF VIBURNUM</vt:lpstr>
    </vt:vector>
  </TitlesOfParts>
  <Company>USDA NRCS National Plant Data Center</Company>
  <LinksUpToDate>false</LinksUpToDate>
  <CharactersWithSpaces>5635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MAPLELEAF VIBURNUM</dc:title>
  <dc:subject>Viburnum acerifolium L.</dc:subject>
  <dc:creator>J. Scott Peterson</dc:creator>
  <cp:keywords/>
  <cp:lastModifiedBy>William Farrell</cp:lastModifiedBy>
  <cp:revision>2</cp:revision>
  <cp:lastPrinted>2003-06-09T21:39:00Z</cp:lastPrinted>
  <dcterms:created xsi:type="dcterms:W3CDTF">2011-01-28T18:59:00Z</dcterms:created>
  <dcterms:modified xsi:type="dcterms:W3CDTF">2011-01-28T18:59:00Z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