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CO</w:t>
            </w:r>
            <w:r w:rsidR="005B78BD">
              <w:t>toneaster</w:t>
            </w:r>
          </w:p>
        </w:tc>
      </w:tr>
      <w:tr w:rsidR="00CD49CC">
        <w:tblPrEx>
          <w:tblCellMar>
            <w:top w:w="0" w:type="dxa"/>
            <w:bottom w:w="0" w:type="dxa"/>
          </w:tblCellMar>
        </w:tblPrEx>
        <w:tc>
          <w:tcPr>
            <w:tcW w:w="4410" w:type="dxa"/>
          </w:tcPr>
          <w:p w:rsidR="00CD49CC" w:rsidRPr="008F3D5A" w:rsidRDefault="005B78BD" w:rsidP="008F3D5A">
            <w:pPr>
              <w:pStyle w:val="Titlesubheader1"/>
              <w:rPr>
                <w:i/>
              </w:rPr>
            </w:pPr>
            <w:r>
              <w:rPr>
                <w:i/>
              </w:rPr>
              <w:t>Cotoneaster integerrimus</w:t>
            </w:r>
            <w:r w:rsidR="000F1970" w:rsidRPr="008F3D5A">
              <w:t xml:space="preserve"> </w:t>
            </w:r>
            <w:r>
              <w:t>Medik.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B78BD">
              <w:t>COIN16</w:t>
            </w:r>
          </w:p>
        </w:tc>
      </w:tr>
    </w:tbl>
    <w:p w:rsidR="00CD49CC" w:rsidRPr="004A50AC" w:rsidRDefault="00CD49CC" w:rsidP="004A50AC">
      <w:pPr>
        <w:jc w:val="left"/>
        <w:rPr>
          <w:sz w:val="20"/>
        </w:rPr>
      </w:pPr>
    </w:p>
    <w:p w:rsidR="00D75C8F" w:rsidRDefault="00D75C8F" w:rsidP="00D75C8F">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D75C8F" w:rsidRDefault="00D75C8F" w:rsidP="00D75C8F">
      <w:pPr>
        <w:pStyle w:val="Header2"/>
      </w:pPr>
      <w:r>
        <w:rPr>
          <w:noProof/>
        </w:rPr>
        <w:pict>
          <v:shapetype id="_x0000_t202" coordsize="21600,21600" o:spt="202" path="m,l,21600r21600,l21600,xe">
            <v:stroke joinstyle="miter"/>
            <v:path gradientshapeok="t" o:connecttype="rect"/>
          </v:shapetype>
          <v:shape id="_x0000_s1063" type="#_x0000_t202" style="position:absolute;margin-left:4.05pt;margin-top:1.85pt;width:225pt;height:153pt;z-index:251657728" filled="f" stroked="f">
            <v:textbox>
              <w:txbxContent>
                <w:p w:rsidR="00D75C8F" w:rsidRDefault="00B6261C" w:rsidP="00D75C8F">
                  <w:pPr>
                    <w:pStyle w:val="Titlesubheader2"/>
                    <w:jc w:val="right"/>
                  </w:pPr>
                  <w:r>
                    <w:rPr>
                      <w:noProof/>
                    </w:rPr>
                    <w:drawing>
                      <wp:inline distT="0" distB="0" distL="0" distR="0">
                        <wp:extent cx="2638425" cy="1752600"/>
                        <wp:effectExtent l="19050" t="0" r="9525" b="0"/>
                        <wp:docPr id="2" name="Picture 2" descr="Color photo of cotoneaster (Cotoneaster integerri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cotoneaster (Cotoneaster integerrimus)"/>
                                <pic:cNvPicPr>
                                  <a:picLocks noChangeAspect="1" noChangeArrowheads="1"/>
                                </pic:cNvPicPr>
                              </pic:nvPicPr>
                              <pic:blipFill>
                                <a:blip r:embed="rId8"/>
                                <a:srcRect/>
                                <a:stretch>
                                  <a:fillRect/>
                                </a:stretch>
                              </pic:blipFill>
                              <pic:spPr bwMode="auto">
                                <a:xfrm>
                                  <a:off x="0" y="0"/>
                                  <a:ext cx="2638425" cy="1752600"/>
                                </a:xfrm>
                                <a:prstGeom prst="rect">
                                  <a:avLst/>
                                </a:prstGeom>
                                <a:noFill/>
                                <a:ln w="9525">
                                  <a:noFill/>
                                  <a:miter lim="800000"/>
                                  <a:headEnd/>
                                  <a:tailEnd/>
                                </a:ln>
                              </pic:spPr>
                            </pic:pic>
                          </a:graphicData>
                        </a:graphic>
                      </wp:inline>
                    </w:drawing>
                  </w:r>
                </w:p>
                <w:p w:rsidR="00D75C8F" w:rsidRDefault="00D75C8F" w:rsidP="00D75C8F">
                  <w:pPr>
                    <w:jc w:val="right"/>
                    <w:rPr>
                      <w:sz w:val="14"/>
                    </w:rPr>
                  </w:pPr>
                  <w:r>
                    <w:rPr>
                      <w:sz w:val="14"/>
                    </w:rPr>
                    <w:t xml:space="preserve">D.E. Herman. 1996. </w:t>
                  </w:r>
                  <w:smartTag w:uri="urn:schemas-microsoft-com:office:smarttags" w:element="place">
                    <w:r>
                      <w:rPr>
                        <w:i/>
                        <w:iCs/>
                        <w:sz w:val="14"/>
                      </w:rPr>
                      <w:t>North Dakota</w:t>
                    </w:r>
                  </w:smartTag>
                  <w:r>
                    <w:rPr>
                      <w:i/>
                      <w:iCs/>
                      <w:sz w:val="14"/>
                    </w:rPr>
                    <w:t xml:space="preserve"> tree handbook.</w:t>
                  </w:r>
                </w:p>
              </w:txbxContent>
            </v:textbox>
          </v:shape>
        </w:pict>
      </w:r>
    </w:p>
    <w:p w:rsidR="00D75C8F" w:rsidRDefault="00D75C8F" w:rsidP="00D75C8F"/>
    <w:p w:rsidR="00D75C8F" w:rsidRDefault="00D75C8F" w:rsidP="00D75C8F"/>
    <w:p w:rsidR="00D75C8F" w:rsidRDefault="00D75C8F" w:rsidP="00D75C8F"/>
    <w:p w:rsidR="00D75C8F" w:rsidRDefault="00D75C8F" w:rsidP="00D75C8F"/>
    <w:p w:rsidR="00D75C8F" w:rsidRDefault="00D75C8F" w:rsidP="00D75C8F"/>
    <w:p w:rsidR="00D75C8F" w:rsidRDefault="00D75C8F" w:rsidP="00D75C8F"/>
    <w:p w:rsidR="00D75C8F" w:rsidRDefault="00D75C8F" w:rsidP="00D75C8F"/>
    <w:p w:rsidR="00D75C8F" w:rsidRDefault="00D75C8F" w:rsidP="00D75C8F"/>
    <w:p w:rsidR="00D75C8F" w:rsidRDefault="00D75C8F" w:rsidP="00D75C8F"/>
    <w:p w:rsidR="00D75C8F" w:rsidRDefault="00D75C8F" w:rsidP="00D75C8F"/>
    <w:p w:rsidR="00D75C8F" w:rsidRDefault="00D75C8F" w:rsidP="00D75C8F"/>
    <w:p w:rsidR="00D75C8F" w:rsidRDefault="00D75C8F" w:rsidP="00D75C8F">
      <w:pPr>
        <w:pStyle w:val="Header3"/>
      </w:pPr>
      <w:r>
        <w:t xml:space="preserve">Alternate Names </w:t>
      </w:r>
    </w:p>
    <w:p w:rsidR="00D75C8F" w:rsidRDefault="00D75C8F" w:rsidP="00D75C8F">
      <w:pPr>
        <w:pStyle w:val="Header3"/>
        <w:rPr>
          <w:b w:val="0"/>
          <w:bCs w:val="0"/>
        </w:rPr>
      </w:pPr>
      <w:r>
        <w:rPr>
          <w:b w:val="0"/>
          <w:bCs w:val="0"/>
          <w:i/>
          <w:iCs/>
          <w:szCs w:val="18"/>
        </w:rPr>
        <w:t>Cotoneaster cotoneaster,</w:t>
      </w:r>
      <w:r>
        <w:rPr>
          <w:b w:val="0"/>
          <w:bCs w:val="0"/>
          <w:i/>
          <w:iCs/>
        </w:rPr>
        <w:t xml:space="preserve"> Cotoneaster vulgaris</w:t>
      </w:r>
      <w:r>
        <w:rPr>
          <w:b w:val="0"/>
          <w:bCs w:val="0"/>
        </w:rPr>
        <w:t>, European cotoneaster, g</w:t>
      </w:r>
      <w:r>
        <w:rPr>
          <w:b w:val="0"/>
          <w:bCs w:val="0"/>
          <w:szCs w:val="18"/>
        </w:rPr>
        <w:t>reat orme berry,</w:t>
      </w:r>
      <w:r>
        <w:rPr>
          <w:b w:val="0"/>
          <w:bCs w:val="0"/>
          <w:i/>
          <w:iCs/>
        </w:rPr>
        <w:t xml:space="preserve"> Mespilus cotoneaster</w:t>
      </w:r>
      <w:r>
        <w:rPr>
          <w:b w:val="0"/>
          <w:bCs w:val="0"/>
        </w:rPr>
        <w:t xml:space="preserve">, </w:t>
      </w:r>
      <w:r>
        <w:rPr>
          <w:b w:val="0"/>
          <w:bCs w:val="0"/>
          <w:i/>
          <w:iCs/>
        </w:rPr>
        <w:t>Ostinia cotoneaster</w:t>
      </w:r>
      <w:r>
        <w:rPr>
          <w:b w:val="0"/>
          <w:bCs w:val="0"/>
        </w:rPr>
        <w:t xml:space="preserve">, quan yuan xun zi (Chinese), skalnik obecny (Czech), wild cotoneaster, zwergmispel (German). </w:t>
      </w:r>
    </w:p>
    <w:p w:rsidR="00D75C8F" w:rsidRDefault="00D75C8F" w:rsidP="00D75C8F">
      <w:pPr>
        <w:tabs>
          <w:tab w:val="left" w:pos="2430"/>
        </w:tabs>
        <w:jc w:val="left"/>
      </w:pPr>
    </w:p>
    <w:p w:rsidR="00D75C8F" w:rsidRDefault="00D75C8F" w:rsidP="00D75C8F">
      <w:pPr>
        <w:pStyle w:val="Header3"/>
      </w:pPr>
      <w:r>
        <w:t>Uses</w:t>
      </w:r>
    </w:p>
    <w:p w:rsidR="00D75C8F" w:rsidRDefault="00D75C8F" w:rsidP="00D75C8F">
      <w:pPr>
        <w:pStyle w:val="Bodytext0"/>
      </w:pPr>
      <w:r>
        <w:rPr>
          <w:i/>
          <w:iCs/>
        </w:rPr>
        <w:t xml:space="preserve">Conservation: </w:t>
      </w:r>
      <w:r>
        <w:t>The USDA NRCS recommends cotoneaster for use in windbreak plantings on farmsteads and along transportation, transmission, and recreation corridors.</w:t>
      </w:r>
    </w:p>
    <w:p w:rsidR="00D75C8F" w:rsidRDefault="00D75C8F" w:rsidP="00D75C8F">
      <w:pPr>
        <w:pStyle w:val="Bodytext0"/>
      </w:pPr>
    </w:p>
    <w:p w:rsidR="00D75C8F" w:rsidRDefault="00D75C8F" w:rsidP="00D75C8F">
      <w:pPr>
        <w:pStyle w:val="Bodytext0"/>
      </w:pPr>
      <w:r>
        <w:rPr>
          <w:i/>
          <w:iCs/>
        </w:rPr>
        <w:t xml:space="preserve">Wildlife: </w:t>
      </w:r>
      <w:r>
        <w:t>Many bird species consume cotoneaster fruit in autumn.  The plant also offers protection and habitat to small wildlife species.</w:t>
      </w:r>
    </w:p>
    <w:p w:rsidR="00D75C8F" w:rsidRDefault="00D75C8F" w:rsidP="00D75C8F">
      <w:pPr>
        <w:tabs>
          <w:tab w:val="left" w:pos="2430"/>
        </w:tabs>
        <w:rPr>
          <w:sz w:val="20"/>
        </w:rPr>
      </w:pPr>
    </w:p>
    <w:p w:rsidR="00D75C8F" w:rsidRDefault="00D75C8F" w:rsidP="00D75C8F">
      <w:pPr>
        <w:pStyle w:val="Header3"/>
      </w:pPr>
      <w:r>
        <w:t>Description</w:t>
      </w:r>
    </w:p>
    <w:p w:rsidR="00D75C8F" w:rsidRDefault="00D75C8F" w:rsidP="00D75C8F">
      <w:pPr>
        <w:pStyle w:val="Bodytext0"/>
      </w:pPr>
      <w:r>
        <w:rPr>
          <w:i/>
        </w:rPr>
        <w:t>General</w:t>
      </w:r>
      <w:r>
        <w:t xml:space="preserve">: Rose Family (Rosaceae). Cotoneaster is a multi-branched shrub with a broad crown.  It is 2 m tall at maturity.  The branchlets are grayish brown, covered with dense hairs, becoming more glabrous at maturity.  Leaves are simple, alternate, broadly ovate to almost circular, 2 to 4 cm long and 1 to 3 cm wide.  They are gray-green above, gray pubescent below, and are untoothed.  Buds are brown to pale gray and less than 1 cm long.  Two to five flowers are borne </w:t>
      </w:r>
    </w:p>
    <w:p w:rsidR="00D75C8F" w:rsidRDefault="00D75C8F" w:rsidP="00D75C8F">
      <w:pPr>
        <w:pStyle w:val="Bodytext0"/>
      </w:pPr>
    </w:p>
    <w:p w:rsidR="00D75C8F" w:rsidRDefault="00D75C8F" w:rsidP="00D75C8F">
      <w:pPr>
        <w:pStyle w:val="Bodytext0"/>
      </w:pPr>
      <w:r>
        <w:lastRenderedPageBreak/>
        <w:t>on inflorescences that are 1.5 to 2.5 cm long.  The flowers are pinkish-white and approximately 8 mm in diameter.  The fruit is a dark red berry, 6 to 8 mm in diameter.  Cotoneaster blooms in May and June and sets fruit in August and September.</w:t>
      </w:r>
    </w:p>
    <w:p w:rsidR="00D75C8F" w:rsidRDefault="00D75C8F" w:rsidP="00D75C8F">
      <w:pPr>
        <w:pStyle w:val="Bodytext0"/>
      </w:pPr>
    </w:p>
    <w:p w:rsidR="00D75C8F" w:rsidRDefault="00D75C8F" w:rsidP="00D75C8F">
      <w:pPr>
        <w:pStyle w:val="Bodytext0"/>
      </w:pPr>
      <w:r>
        <w:rPr>
          <w:i/>
        </w:rPr>
        <w:t>Distribution</w:t>
      </w:r>
      <w:r>
        <w:t xml:space="preserve">: Cotoneaster is native to Europe and temperate regions of </w:t>
      </w:r>
      <w:smartTag w:uri="urn:schemas-microsoft-com:office:smarttags" w:element="place">
        <w:r>
          <w:t>Asia</w:t>
        </w:r>
      </w:smartTag>
      <w:r>
        <w:t xml:space="preserve">.  Its native status in </w:t>
      </w:r>
      <w:smartTag w:uri="urn:schemas-microsoft-com:office:smarttags" w:element="place">
        <w:smartTag w:uri="urn:schemas-microsoft-com:office:smarttags" w:element="country-region">
          <w:r>
            <w:t>China</w:t>
          </w:r>
        </w:smartTag>
      </w:smartTag>
      <w:r>
        <w:t xml:space="preserve"> is debated and has been documented as unknown by some sources.  </w:t>
      </w:r>
    </w:p>
    <w:p w:rsidR="00D75C8F" w:rsidRDefault="00D75C8F" w:rsidP="00D75C8F">
      <w:pPr>
        <w:pStyle w:val="Bodytext0"/>
      </w:pPr>
    </w:p>
    <w:p w:rsidR="00D75C8F" w:rsidRDefault="00D75C8F" w:rsidP="00D75C8F">
      <w:pPr>
        <w:pStyle w:val="Bodytext0"/>
      </w:pPr>
      <w:r>
        <w:rPr>
          <w:i/>
        </w:rPr>
        <w:t>Habitat</w:t>
      </w:r>
      <w:r>
        <w:t>: The natural habitats of cotoneaster are rocky slopes and forests at elevations below 2500 meters.</w:t>
      </w:r>
    </w:p>
    <w:p w:rsidR="00D75C8F" w:rsidRDefault="00D75C8F" w:rsidP="00D75C8F">
      <w:pPr>
        <w:tabs>
          <w:tab w:val="left" w:pos="2430"/>
        </w:tabs>
        <w:rPr>
          <w:sz w:val="20"/>
        </w:rPr>
      </w:pPr>
    </w:p>
    <w:p w:rsidR="00D75C8F" w:rsidRDefault="00D75C8F" w:rsidP="00D75C8F">
      <w:pPr>
        <w:pStyle w:val="Header3"/>
      </w:pPr>
      <w:r>
        <w:t>Adaptation</w:t>
      </w:r>
    </w:p>
    <w:p w:rsidR="00D75C8F" w:rsidRDefault="00D75C8F" w:rsidP="00D75C8F">
      <w:pPr>
        <w:pStyle w:val="Bodytext0"/>
      </w:pPr>
      <w:r>
        <w:t>The recommended USDA hardiness zones for cotoneaster are 3 through 5.  Cotoneaster prefers soils that are moist and have a pH range of 5.0 to 7.5.  The “North Dakota Tree Handbook” states that cotoneaster is not adapted to alkaline soils (as well as saline soils), but other sources suggest that alkaline soils are preferred.  It is adapted to a variety of soil textures.  Growth is slow on very dry and poorly drained soils.  Cotoneaster does well in full and partial sun.</w:t>
      </w:r>
    </w:p>
    <w:p w:rsidR="00D75C8F" w:rsidRDefault="00D75C8F" w:rsidP="00D75C8F">
      <w:pPr>
        <w:tabs>
          <w:tab w:val="left" w:pos="2430"/>
        </w:tabs>
        <w:rPr>
          <w:sz w:val="20"/>
        </w:rPr>
      </w:pPr>
    </w:p>
    <w:p w:rsidR="00D75C8F" w:rsidRDefault="00D75C8F" w:rsidP="00D75C8F">
      <w:pPr>
        <w:pStyle w:val="Header3"/>
      </w:pPr>
      <w:r>
        <w:t>Pests and Potential Problems</w:t>
      </w:r>
    </w:p>
    <w:p w:rsidR="00D75C8F" w:rsidRDefault="00D75C8F" w:rsidP="00D75C8F">
      <w:pPr>
        <w:pStyle w:val="Bodytext0"/>
      </w:pPr>
      <w:r>
        <w:t xml:space="preserve">Fireblight is a common problem among cotoneaster plants.  It is caused by the bacterium, </w:t>
      </w:r>
      <w:r>
        <w:rPr>
          <w:i/>
          <w:iCs/>
        </w:rPr>
        <w:t>Erwinia amylovora</w:t>
      </w:r>
      <w:r>
        <w:t>.  New plant growth is black and curved.  Smooth bark will crack while older growth will develop cankers.  The cankers may cause death.  The disease is prompted by heavy rainfall followed by warm, hazy weather.  Nitrogen fertilization, late season fertilization, poor soil drainage, and over-watering promote susceptibility to fire blight.</w:t>
      </w:r>
    </w:p>
    <w:p w:rsidR="00D75C8F" w:rsidRDefault="00D75C8F" w:rsidP="00D75C8F">
      <w:pPr>
        <w:pStyle w:val="Bodytext0"/>
      </w:pPr>
    </w:p>
    <w:p w:rsidR="00D75C8F" w:rsidRDefault="00D75C8F" w:rsidP="00D75C8F">
      <w:pPr>
        <w:pStyle w:val="Header3"/>
        <w:rPr>
          <w:b w:val="0"/>
          <w:bCs w:val="0"/>
        </w:rPr>
      </w:pPr>
      <w:r>
        <w:rPr>
          <w:b w:val="0"/>
          <w:bCs w:val="0"/>
        </w:rPr>
        <w:t>Pear slugs are common insect pests that chew cotoneaster leaves, giving plants a skeletonized appearance.  Damaged leaves fall prematurely.  Pear slug infestations leave cotoneaster unattractive, but do not affect plant health.</w:t>
      </w:r>
    </w:p>
    <w:p w:rsidR="00D75C8F" w:rsidRDefault="00D75C8F" w:rsidP="00D75C8F">
      <w:pPr>
        <w:pStyle w:val="Header3"/>
      </w:pPr>
    </w:p>
    <w:p w:rsidR="00D75C8F" w:rsidRDefault="00D75C8F" w:rsidP="00D75C8F">
      <w:pPr>
        <w:pStyle w:val="Header3"/>
        <w:rPr>
          <w:rFonts w:ascii="Arial" w:hAnsi="Arial"/>
        </w:rPr>
      </w:pPr>
      <w:r>
        <w:t>Management</w:t>
      </w:r>
    </w:p>
    <w:p w:rsidR="00D75C8F" w:rsidRDefault="00D75C8F" w:rsidP="00D75C8F">
      <w:pPr>
        <w:pStyle w:val="Bodytext0"/>
      </w:pPr>
      <w:r>
        <w:t xml:space="preserve">To reduce the risk of fireblight infection, do not plant cotoneaster near ornamental or orchard apple trees.  Although there is no chemical treatment available, sanitary culture conditions can manage fireblight spread.  Prune diseased twigs and remove plants with large cankers.  Disinfect pruning tools.  Apply sprays that contain fixed copper during bloom-time to </w:t>
      </w:r>
      <w:r>
        <w:lastRenderedPageBreak/>
        <w:t xml:space="preserve">prevent infection.  Remove suckers from the base of the plant. </w:t>
      </w:r>
    </w:p>
    <w:p w:rsidR="00D75C8F" w:rsidRDefault="00D75C8F" w:rsidP="00D75C8F">
      <w:pPr>
        <w:pStyle w:val="Bodytext0"/>
      </w:pPr>
    </w:p>
    <w:p w:rsidR="00D75C8F" w:rsidRDefault="00D75C8F" w:rsidP="00D75C8F">
      <w:pPr>
        <w:pStyle w:val="Bodytext0"/>
      </w:pPr>
      <w:r>
        <w:t>Pear slug infestation is controlled with insecticides labeled for caterpillars or leaf beetles, or by using a jet of water to remove the slugs.  Wood ashes kill pear slugs.</w:t>
      </w:r>
    </w:p>
    <w:p w:rsidR="00D75C8F" w:rsidRDefault="00D75C8F" w:rsidP="00D75C8F">
      <w:pPr>
        <w:tabs>
          <w:tab w:val="left" w:pos="2430"/>
        </w:tabs>
      </w:pPr>
    </w:p>
    <w:p w:rsidR="00D75C8F" w:rsidRDefault="00D75C8F" w:rsidP="00D75C8F">
      <w:pPr>
        <w:pStyle w:val="Header3"/>
      </w:pPr>
      <w:r>
        <w:t>Cultivars, Improved, and Selected Materials (and area of origin)</w:t>
      </w:r>
    </w:p>
    <w:p w:rsidR="00D75C8F" w:rsidRDefault="00D75C8F" w:rsidP="00D75C8F">
      <w:pPr>
        <w:pStyle w:val="Bodytext0"/>
      </w:pPr>
      <w:r>
        <w:t xml:space="preserve">The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released the cultivar ‘Centennial’ cotoneaster in 1987 for conservation use in the </w:t>
      </w:r>
      <w:smartTag w:uri="urn:schemas-microsoft-com:office:smarttags" w:element="place">
        <w:r>
          <w:t>Great Plains</w:t>
        </w:r>
      </w:smartTag>
      <w:r>
        <w:t>.</w:t>
      </w:r>
    </w:p>
    <w:p w:rsidR="00D75C8F" w:rsidRDefault="00D75C8F" w:rsidP="00D75C8F">
      <w:pPr>
        <w:tabs>
          <w:tab w:val="left" w:pos="2430"/>
        </w:tabs>
      </w:pPr>
    </w:p>
    <w:p w:rsidR="00D75C8F" w:rsidRPr="001244A5" w:rsidRDefault="00D75C8F" w:rsidP="00D75C8F">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D75C8F" w:rsidRDefault="00D75C8F" w:rsidP="00D75C8F">
      <w:pPr>
        <w:pStyle w:val="Bodytext0"/>
      </w:pPr>
    </w:p>
    <w:p w:rsidR="00D75C8F" w:rsidRDefault="00D75C8F" w:rsidP="00D75C8F">
      <w:pPr>
        <w:pStyle w:val="Header3"/>
        <w:keepNext w:val="0"/>
      </w:pPr>
      <w:r>
        <w:t>References</w:t>
      </w:r>
    </w:p>
    <w:p w:rsidR="00D75C8F" w:rsidRDefault="00D75C8F" w:rsidP="00D75C8F">
      <w:pPr>
        <w:pStyle w:val="Header3"/>
        <w:keepNext w:val="0"/>
        <w:rPr>
          <w:b w:val="0"/>
          <w:bCs w:val="0"/>
        </w:rPr>
      </w:pPr>
      <w:r>
        <w:rPr>
          <w:b w:val="0"/>
          <w:bCs w:val="0"/>
        </w:rPr>
        <w:t xml:space="preserve">Agricultural </w:t>
      </w:r>
      <w:smartTag w:uri="urn:schemas-microsoft-com:office:smarttags" w:element="place">
        <w:smartTag w:uri="urn:schemas-microsoft-com:office:smarttags" w:element="PlaceName">
          <w:r>
            <w:rPr>
              <w:b w:val="0"/>
              <w:bCs w:val="0"/>
            </w:rPr>
            <w:t>Research</w:t>
          </w:r>
        </w:smartTag>
        <w:r>
          <w:rPr>
            <w:b w:val="0"/>
            <w:bCs w:val="0"/>
          </w:rPr>
          <w:t xml:space="preserve"> </w:t>
        </w:r>
        <w:smartTag w:uri="urn:schemas-microsoft-com:office:smarttags" w:element="PlaceType">
          <w:r>
            <w:rPr>
              <w:b w:val="0"/>
              <w:bCs w:val="0"/>
            </w:rPr>
            <w:t>Center</w:t>
          </w:r>
        </w:smartTag>
      </w:smartTag>
      <w:r>
        <w:rPr>
          <w:b w:val="0"/>
          <w:bCs w:val="0"/>
        </w:rPr>
        <w:t xml:space="preserve">. 2004. </w:t>
      </w:r>
      <w:r>
        <w:rPr>
          <w:b w:val="0"/>
          <w:bCs w:val="0"/>
          <w:i/>
          <w:iCs/>
        </w:rPr>
        <w:t xml:space="preserve">GRIN taxonomy </w:t>
      </w:r>
      <w:r>
        <w:rPr>
          <w:b w:val="0"/>
          <w:bCs w:val="0"/>
        </w:rPr>
        <w:t xml:space="preserve">(http://www.ars-grin.gov/cgi-bin/npgs/html/index, </w:t>
      </w:r>
      <w:smartTag w:uri="urn:schemas-microsoft-com:office:smarttags" w:element="date">
        <w:smartTagPr>
          <w:attr w:name="Month" w:val="6"/>
          <w:attr w:name="Day" w:val="19"/>
          <w:attr w:name="Year" w:val="2004"/>
        </w:smartTagPr>
        <w:r>
          <w:rPr>
            <w:b w:val="0"/>
            <w:bCs w:val="0"/>
          </w:rPr>
          <w:t>19 June 2004</w:t>
        </w:r>
      </w:smartTag>
      <w:r>
        <w:rPr>
          <w:b w:val="0"/>
          <w:bCs w:val="0"/>
        </w:rPr>
        <w:t>). USDA, Beltsville.</w:t>
      </w:r>
    </w:p>
    <w:p w:rsidR="00D75C8F" w:rsidRDefault="00D75C8F" w:rsidP="00D75C8F">
      <w:pPr>
        <w:pStyle w:val="Header3"/>
        <w:keepNext w:val="0"/>
        <w:rPr>
          <w:b w:val="0"/>
          <w:bCs w:val="0"/>
        </w:rPr>
      </w:pPr>
    </w:p>
    <w:p w:rsidR="00D75C8F" w:rsidRDefault="00D75C8F" w:rsidP="00D75C8F">
      <w:pPr>
        <w:pStyle w:val="Header3"/>
        <w:keepNext w:val="0"/>
        <w:rPr>
          <w:b w:val="0"/>
          <w:bCs w:val="0"/>
        </w:rPr>
      </w:pPr>
      <w:r>
        <w:rPr>
          <w:b w:val="0"/>
          <w:bCs w:val="0"/>
        </w:rPr>
        <w:t xml:space="preserve">Cranshaw, W.S. and D.A. Leatherman. 1986. </w:t>
      </w:r>
      <w:r>
        <w:rPr>
          <w:b w:val="0"/>
          <w:bCs w:val="0"/>
          <w:i/>
          <w:iCs/>
        </w:rPr>
        <w:t xml:space="preserve">Pear slugs </w:t>
      </w:r>
      <w:r>
        <w:rPr>
          <w:b w:val="0"/>
          <w:bCs w:val="0"/>
        </w:rPr>
        <w:t xml:space="preserve">(http://www.colostate.edu/Depts/IPM/ento/ j560.html, </w:t>
      </w:r>
      <w:smartTag w:uri="urn:schemas-microsoft-com:office:smarttags" w:element="date">
        <w:smartTagPr>
          <w:attr w:name="Month" w:val="6"/>
          <w:attr w:name="Day" w:val="23"/>
          <w:attr w:name="Year" w:val="2004"/>
        </w:smartTagPr>
        <w:r>
          <w:rPr>
            <w:b w:val="0"/>
            <w:bCs w:val="0"/>
          </w:rPr>
          <w:t>23 June 2004</w:t>
        </w:r>
      </w:smartTag>
      <w:r>
        <w:rPr>
          <w:b w:val="0"/>
          <w:bCs w:val="0"/>
        </w:rPr>
        <w:t xml:space="preserve">). </w:t>
      </w:r>
      <w:smartTag w:uri="urn:schemas-microsoft-com:office:smarttags" w:element="PlaceName">
        <w:r>
          <w:rPr>
            <w:b w:val="0"/>
            <w:bCs w:val="0"/>
          </w:rPr>
          <w:t>Colorado</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Cooperative Extension, </w:t>
      </w:r>
      <w:smartTag w:uri="urn:schemas-microsoft-com:office:smarttags" w:element="place">
        <w:smartTag w:uri="urn:schemas-microsoft-com:office:smarttags" w:element="City">
          <w:r>
            <w:rPr>
              <w:b w:val="0"/>
              <w:bCs w:val="0"/>
            </w:rPr>
            <w:t>Fort Collins</w:t>
          </w:r>
        </w:smartTag>
      </w:smartTag>
      <w:r>
        <w:rPr>
          <w:b w:val="0"/>
          <w:bCs w:val="0"/>
        </w:rPr>
        <w:t>.</w:t>
      </w:r>
    </w:p>
    <w:p w:rsidR="00D75C8F" w:rsidRDefault="00D75C8F" w:rsidP="00D75C8F">
      <w:pPr>
        <w:pStyle w:val="Header3"/>
        <w:keepNext w:val="0"/>
        <w:rPr>
          <w:b w:val="0"/>
          <w:bCs w:val="0"/>
        </w:rPr>
      </w:pPr>
    </w:p>
    <w:p w:rsidR="00D75C8F" w:rsidRDefault="00D75C8F" w:rsidP="00D75C8F">
      <w:pPr>
        <w:pStyle w:val="Header3"/>
        <w:keepNext w:val="0"/>
        <w:rPr>
          <w:b w:val="0"/>
          <w:bCs w:val="0"/>
        </w:rPr>
      </w:pPr>
      <w:smartTag w:uri="urn:schemas-microsoft-com:office:smarttags" w:element="place">
        <w:smartTag w:uri="urn:schemas-microsoft-com:office:smarttags" w:element="PlaceName">
          <w:r>
            <w:rPr>
              <w:b w:val="0"/>
              <w:bCs w:val="0"/>
            </w:rPr>
            <w:t>Devonian</w:t>
          </w:r>
        </w:smartTag>
        <w:r>
          <w:rPr>
            <w:b w:val="0"/>
            <w:bCs w:val="0"/>
          </w:rPr>
          <w:t xml:space="preserve"> </w:t>
        </w:r>
        <w:smartTag w:uri="urn:schemas-microsoft-com:office:smarttags" w:element="PlaceType">
          <w:r>
            <w:rPr>
              <w:b w:val="0"/>
              <w:bCs w:val="0"/>
            </w:rPr>
            <w:t>Botanic Garden</w:t>
          </w:r>
        </w:smartTag>
      </w:smartTag>
      <w:r>
        <w:rPr>
          <w:b w:val="0"/>
          <w:bCs w:val="0"/>
        </w:rPr>
        <w:t xml:space="preserve">. 2004. </w:t>
      </w:r>
      <w:r>
        <w:rPr>
          <w:b w:val="0"/>
          <w:bCs w:val="0"/>
          <w:i/>
          <w:iCs/>
        </w:rPr>
        <w:t xml:space="preserve">Woody perennials </w:t>
      </w:r>
      <w:r>
        <w:rPr>
          <w:b w:val="0"/>
          <w:bCs w:val="0"/>
        </w:rPr>
        <w:t>(http:</w:t>
      </w:r>
      <w:r>
        <w:rPr>
          <w:b w:val="0"/>
          <w:bCs w:val="0"/>
        </w:rPr>
        <w:t>/</w:t>
      </w:r>
      <w:r>
        <w:rPr>
          <w:b w:val="0"/>
          <w:bCs w:val="0"/>
        </w:rPr>
        <w:t xml:space="preserve">/www.discoveredmonton.com/devonian/seedwood.html, </w:t>
      </w:r>
      <w:smartTag w:uri="urn:schemas-microsoft-com:office:smarttags" w:element="date">
        <w:smartTagPr>
          <w:attr w:name="Month" w:val="6"/>
          <w:attr w:name="Day" w:val="19"/>
          <w:attr w:name="Year" w:val="2004"/>
        </w:smartTagPr>
        <w:r>
          <w:rPr>
            <w:b w:val="0"/>
            <w:bCs w:val="0"/>
          </w:rPr>
          <w:t>19 June 2004</w:t>
        </w:r>
      </w:smartTag>
      <w:r>
        <w:rPr>
          <w:b w:val="0"/>
          <w:bCs w:val="0"/>
        </w:rPr>
        <w:t xml:space="preserve">). </w:t>
      </w:r>
      <w:smartTag w:uri="urn:schemas-microsoft-com:office:smarttags" w:element="place">
        <w:smartTag w:uri="urn:schemas-microsoft-com:office:smarttags" w:element="City">
          <w:r>
            <w:rPr>
              <w:b w:val="0"/>
              <w:bCs w:val="0"/>
            </w:rPr>
            <w:t>University of Alberta</w:t>
          </w:r>
        </w:smartTag>
        <w:r>
          <w:rPr>
            <w:b w:val="0"/>
            <w:bCs w:val="0"/>
          </w:rPr>
          <w:t xml:space="preserve">, </w:t>
        </w:r>
        <w:smartTag w:uri="urn:schemas-microsoft-com:office:smarttags" w:element="State">
          <w:r>
            <w:rPr>
              <w:b w:val="0"/>
              <w:bCs w:val="0"/>
            </w:rPr>
            <w:t>Alberta</w:t>
          </w:r>
        </w:smartTag>
        <w:r>
          <w:rPr>
            <w:b w:val="0"/>
            <w:bCs w:val="0"/>
          </w:rPr>
          <w:t xml:space="preserve">, </w:t>
        </w:r>
        <w:smartTag w:uri="urn:schemas-microsoft-com:office:smarttags" w:element="country-region">
          <w:r>
            <w:rPr>
              <w:b w:val="0"/>
              <w:bCs w:val="0"/>
            </w:rPr>
            <w:t>Canada</w:t>
          </w:r>
        </w:smartTag>
      </w:smartTag>
      <w:r>
        <w:rPr>
          <w:b w:val="0"/>
          <w:bCs w:val="0"/>
        </w:rPr>
        <w:t>.</w:t>
      </w:r>
    </w:p>
    <w:p w:rsidR="00D75C8F" w:rsidRDefault="00D75C8F" w:rsidP="00D75C8F">
      <w:pPr>
        <w:pStyle w:val="Header3"/>
        <w:keepNext w:val="0"/>
        <w:rPr>
          <w:b w:val="0"/>
          <w:bCs w:val="0"/>
        </w:rPr>
      </w:pPr>
    </w:p>
    <w:p w:rsidR="00D75C8F" w:rsidRDefault="00D75C8F" w:rsidP="00D75C8F">
      <w:pPr>
        <w:pStyle w:val="Header3"/>
        <w:keepNext w:val="0"/>
        <w:rPr>
          <w:b w:val="0"/>
          <w:bCs w:val="0"/>
        </w:rPr>
      </w:pPr>
      <w:r>
        <w:rPr>
          <w:b w:val="0"/>
          <w:bCs w:val="0"/>
        </w:rPr>
        <w:t xml:space="preserve">Landscape </w:t>
      </w:r>
      <w:smartTag w:uri="urn:schemas-microsoft-com:office:smarttags" w:element="State">
        <w:r>
          <w:rPr>
            <w:b w:val="0"/>
            <w:bCs w:val="0"/>
          </w:rPr>
          <w:t>Alberta</w:t>
        </w:r>
      </w:smartTag>
      <w:r>
        <w:rPr>
          <w:b w:val="0"/>
          <w:bCs w:val="0"/>
        </w:rPr>
        <w:t xml:space="preserve"> Nursery Trades Association, </w:t>
      </w:r>
      <w:smartTag w:uri="urn:schemas-microsoft-com:office:smarttags" w:element="place">
        <w:smartTag w:uri="urn:schemas-microsoft-com:office:smarttags" w:element="State">
          <w:r>
            <w:rPr>
              <w:b w:val="0"/>
              <w:bCs w:val="0"/>
            </w:rPr>
            <w:t>Alberta</w:t>
          </w:r>
        </w:smartTag>
      </w:smartTag>
      <w:r>
        <w:rPr>
          <w:b w:val="0"/>
          <w:bCs w:val="0"/>
        </w:rPr>
        <w:t xml:space="preserve"> Agriculture, Food, and Rural Development. 1997. </w:t>
      </w:r>
      <w:r>
        <w:rPr>
          <w:b w:val="0"/>
          <w:bCs w:val="0"/>
          <w:i/>
          <w:iCs/>
        </w:rPr>
        <w:t xml:space="preserve">ArborCare Library </w:t>
      </w:r>
      <w:r>
        <w:rPr>
          <w:b w:val="0"/>
          <w:bCs w:val="0"/>
        </w:rPr>
        <w:t>(http://www.arborcare.com/lib</w:t>
      </w:r>
      <w:r>
        <w:rPr>
          <w:b w:val="0"/>
          <w:bCs w:val="0"/>
        </w:rPr>
        <w:t>r</w:t>
      </w:r>
      <w:r>
        <w:rPr>
          <w:b w:val="0"/>
          <w:bCs w:val="0"/>
        </w:rPr>
        <w:t xml:space="preserve">ary/fireblight.html, </w:t>
      </w:r>
      <w:smartTag w:uri="urn:schemas-microsoft-com:office:smarttags" w:element="date">
        <w:smartTagPr>
          <w:attr w:name="Month" w:val="6"/>
          <w:attr w:name="Day" w:val="23"/>
          <w:attr w:name="Year" w:val="2004"/>
        </w:smartTagPr>
        <w:r>
          <w:rPr>
            <w:b w:val="0"/>
            <w:bCs w:val="0"/>
          </w:rPr>
          <w:t>23 June 2004</w:t>
        </w:r>
      </w:smartTag>
      <w:r>
        <w:rPr>
          <w:b w:val="0"/>
          <w:bCs w:val="0"/>
        </w:rPr>
        <w:t xml:space="preserve">). Arbor CARE Tree Service Ltd., </w:t>
      </w:r>
      <w:smartTag w:uri="urn:schemas-microsoft-com:office:smarttags" w:element="place">
        <w:smartTag w:uri="urn:schemas-microsoft-com:office:smarttags" w:element="City">
          <w:r>
            <w:rPr>
              <w:b w:val="0"/>
              <w:bCs w:val="0"/>
            </w:rPr>
            <w:t>Calgary</w:t>
          </w:r>
        </w:smartTag>
        <w:r>
          <w:rPr>
            <w:b w:val="0"/>
            <w:bCs w:val="0"/>
          </w:rPr>
          <w:t xml:space="preserve">, </w:t>
        </w:r>
        <w:smartTag w:uri="urn:schemas-microsoft-com:office:smarttags" w:element="State">
          <w:r>
            <w:rPr>
              <w:b w:val="0"/>
              <w:bCs w:val="0"/>
            </w:rPr>
            <w:t>Alberta</w:t>
          </w:r>
        </w:smartTag>
        <w:r>
          <w:rPr>
            <w:b w:val="0"/>
            <w:bCs w:val="0"/>
          </w:rPr>
          <w:t xml:space="preserve">, </w:t>
        </w:r>
        <w:smartTag w:uri="urn:schemas-microsoft-com:office:smarttags" w:element="country-region">
          <w:r>
            <w:rPr>
              <w:b w:val="0"/>
              <w:bCs w:val="0"/>
            </w:rPr>
            <w:t>Canada</w:t>
          </w:r>
        </w:smartTag>
      </w:smartTag>
      <w:r>
        <w:rPr>
          <w:b w:val="0"/>
          <w:bCs w:val="0"/>
        </w:rPr>
        <w:t>.</w:t>
      </w:r>
    </w:p>
    <w:p w:rsidR="00D75C8F" w:rsidRDefault="00D75C8F" w:rsidP="00D75C8F">
      <w:pPr>
        <w:pStyle w:val="Header3"/>
        <w:keepNext w:val="0"/>
        <w:rPr>
          <w:b w:val="0"/>
          <w:bCs w:val="0"/>
        </w:rPr>
      </w:pPr>
    </w:p>
    <w:p w:rsidR="00D75C8F" w:rsidRDefault="00D75C8F" w:rsidP="00D75C8F">
      <w:pPr>
        <w:pStyle w:val="Header3"/>
        <w:keepNext w:val="0"/>
        <w:rPr>
          <w:b w:val="0"/>
        </w:rPr>
      </w:pPr>
      <w:smartTag w:uri="urn:schemas-microsoft-com:office:smarttags" w:element="place">
        <w:smartTag w:uri="urn:schemas-microsoft-com:office:smarttags" w:element="PlaceName">
          <w:r w:rsidRPr="00DC3433">
            <w:rPr>
              <w:b w:val="0"/>
            </w:rPr>
            <w:t>Tree</w:t>
          </w:r>
        </w:smartTag>
        <w:r w:rsidRPr="00DC3433">
          <w:rPr>
            <w:b w:val="0"/>
          </w:rPr>
          <w:t xml:space="preserve"> </w:t>
        </w:r>
        <w:smartTag w:uri="urn:schemas-microsoft-com:office:smarttags" w:element="PlaceName">
          <w:r w:rsidRPr="00DC3433">
            <w:rPr>
              <w:b w:val="0"/>
            </w:rPr>
            <w:t>Information</w:t>
          </w:r>
        </w:smartTag>
        <w:r w:rsidRPr="00DC3433">
          <w:rPr>
            <w:b w:val="0"/>
          </w:rPr>
          <w:t xml:space="preserve"> </w:t>
        </w:r>
        <w:smartTag w:uri="urn:schemas-microsoft-com:office:smarttags" w:element="PlaceType">
          <w:r w:rsidRPr="00DC3433">
            <w:rPr>
              <w:b w:val="0"/>
            </w:rPr>
            <w:t>Center</w:t>
          </w:r>
        </w:smartTag>
      </w:smartTag>
      <w:r w:rsidRPr="00DC3433">
        <w:rPr>
          <w:b w:val="0"/>
        </w:rPr>
        <w:t xml:space="preserve">. 1996. </w:t>
      </w:r>
      <w:smartTag w:uri="urn:schemas-microsoft-com:office:smarttags" w:element="place">
        <w:r w:rsidRPr="00DC3433">
          <w:rPr>
            <w:b w:val="0"/>
            <w:i/>
            <w:iCs/>
          </w:rPr>
          <w:t>North Dakota</w:t>
        </w:r>
      </w:smartTag>
      <w:r w:rsidRPr="00DC3433">
        <w:rPr>
          <w:b w:val="0"/>
          <w:i/>
          <w:iCs/>
        </w:rPr>
        <w:t xml:space="preserve"> tree handbook </w:t>
      </w:r>
      <w:r w:rsidRPr="00DC3433">
        <w:rPr>
          <w:b w:val="0"/>
        </w:rPr>
        <w:t xml:space="preserve">(http://www.ag.ndsu.nodak.edu/ aginfo/trees/handbook/ndhand-1.htm, </w:t>
      </w:r>
      <w:smartTag w:uri="urn:schemas-microsoft-com:office:smarttags" w:element="date">
        <w:smartTagPr>
          <w:attr w:name="Month" w:val="6"/>
          <w:attr w:name="Day" w:val="19"/>
          <w:attr w:name="Year" w:val="2004"/>
        </w:smartTagPr>
        <w:r w:rsidRPr="00DC3433">
          <w:rPr>
            <w:b w:val="0"/>
          </w:rPr>
          <w:t>19 June 2004</w:t>
        </w:r>
      </w:smartTag>
      <w:r w:rsidRPr="00DC3433">
        <w:rPr>
          <w:b w:val="0"/>
        </w:rPr>
        <w:t xml:space="preserve">). </w:t>
      </w:r>
      <w:smartTag w:uri="urn:schemas-microsoft-com:office:smarttags" w:element="PlaceName">
        <w:r w:rsidRPr="00DC3433">
          <w:rPr>
            <w:b w:val="0"/>
          </w:rPr>
          <w:t>North Dakota</w:t>
        </w:r>
      </w:smartTag>
      <w:r w:rsidRPr="00DC3433">
        <w:rPr>
          <w:b w:val="0"/>
        </w:rPr>
        <w:t xml:space="preserve"> </w:t>
      </w:r>
      <w:smartTag w:uri="urn:schemas-microsoft-com:office:smarttags" w:element="PlaceType">
        <w:r w:rsidRPr="00DC3433">
          <w:rPr>
            <w:b w:val="0"/>
          </w:rPr>
          <w:t>State</w:t>
        </w:r>
      </w:smartTag>
      <w:r w:rsidRPr="00DC3433">
        <w:rPr>
          <w:b w:val="0"/>
        </w:rPr>
        <w:t xml:space="preserve"> </w:t>
      </w:r>
      <w:smartTag w:uri="urn:schemas-microsoft-com:office:smarttags" w:element="PlaceType">
        <w:r w:rsidRPr="00DC3433">
          <w:rPr>
            <w:b w:val="0"/>
          </w:rPr>
          <w:t>University</w:t>
        </w:r>
      </w:smartTag>
      <w:r w:rsidRPr="00DC3433">
        <w:rPr>
          <w:b w:val="0"/>
        </w:rPr>
        <w:t xml:space="preserve">, </w:t>
      </w:r>
      <w:smartTag w:uri="urn:schemas-microsoft-com:office:smarttags" w:element="place">
        <w:smartTag w:uri="urn:schemas-microsoft-com:office:smarttags" w:element="City">
          <w:r w:rsidRPr="00DC3433">
            <w:rPr>
              <w:b w:val="0"/>
            </w:rPr>
            <w:t>Fargo</w:t>
          </w:r>
        </w:smartTag>
      </w:smartTag>
      <w:r w:rsidRPr="00DC3433">
        <w:rPr>
          <w:b w:val="0"/>
        </w:rPr>
        <w:t>.</w:t>
      </w:r>
    </w:p>
    <w:p w:rsidR="00D75C8F" w:rsidRDefault="00D75C8F" w:rsidP="00D75C8F">
      <w:pPr>
        <w:pStyle w:val="Header3"/>
        <w:keepNext w:val="0"/>
        <w:rPr>
          <w:b w:val="0"/>
        </w:rPr>
      </w:pPr>
    </w:p>
    <w:p w:rsidR="00D75C8F" w:rsidRDefault="00D75C8F" w:rsidP="00D75C8F">
      <w:pPr>
        <w:pStyle w:val="Header3"/>
        <w:keepNext w:val="0"/>
        <w:rPr>
          <w:b w:val="0"/>
          <w:bCs w:val="0"/>
        </w:rPr>
      </w:pPr>
      <w:r>
        <w:rPr>
          <w:b w:val="0"/>
          <w:bCs w:val="0"/>
        </w:rPr>
        <w:t xml:space="preserve">USDA NRCS. 2002. </w:t>
      </w:r>
      <w:r>
        <w:rPr>
          <w:b w:val="0"/>
          <w:bCs w:val="0"/>
          <w:i/>
          <w:iCs/>
        </w:rPr>
        <w:t xml:space="preserve">NC-7 woody ornamental evaluation trials: 1989 accessions </w:t>
      </w:r>
      <w:r>
        <w:rPr>
          <w:b w:val="0"/>
          <w:bCs w:val="0"/>
        </w:rPr>
        <w:t xml:space="preserve">(http://www.ars-grin.gov/ars/MidWest/Ames/Ornamental_Trials/index.html, </w:t>
      </w:r>
      <w:smartTag w:uri="urn:schemas-microsoft-com:office:smarttags" w:element="date">
        <w:smartTagPr>
          <w:attr w:name="Month" w:val="6"/>
          <w:attr w:name="Day" w:val="19"/>
          <w:attr w:name="Year" w:val="2004"/>
        </w:smartTagPr>
        <w:r>
          <w:rPr>
            <w:b w:val="0"/>
            <w:bCs w:val="0"/>
          </w:rPr>
          <w:t>19 June 2004</w:t>
        </w:r>
      </w:smartTag>
      <w:r>
        <w:rPr>
          <w:b w:val="0"/>
          <w:bCs w:val="0"/>
        </w:rPr>
        <w:t xml:space="preserve">). North Central Regional Plant Introduction Station, </w:t>
      </w:r>
      <w:smartTag w:uri="urn:schemas-microsoft-com:office:smarttags" w:element="place">
        <w:smartTag w:uri="urn:schemas-microsoft-com:office:smarttags" w:element="City">
          <w:r>
            <w:rPr>
              <w:b w:val="0"/>
              <w:bCs w:val="0"/>
            </w:rPr>
            <w:t>Ames</w:t>
          </w:r>
        </w:smartTag>
      </w:smartTag>
      <w:r>
        <w:rPr>
          <w:b w:val="0"/>
          <w:bCs w:val="0"/>
        </w:rPr>
        <w:t>.</w:t>
      </w:r>
    </w:p>
    <w:p w:rsidR="00D75C8F" w:rsidRDefault="00D75C8F" w:rsidP="00D75C8F">
      <w:pPr>
        <w:pStyle w:val="Header3"/>
        <w:keepNext w:val="0"/>
        <w:rPr>
          <w:b w:val="0"/>
          <w:bCs w:val="0"/>
        </w:rPr>
      </w:pPr>
    </w:p>
    <w:p w:rsidR="00D75C8F" w:rsidRDefault="00D75C8F" w:rsidP="00D75C8F">
      <w:pPr>
        <w:jc w:val="left"/>
        <w:rPr>
          <w:sz w:val="20"/>
        </w:rPr>
      </w:pPr>
      <w:r w:rsidRPr="00DC3433">
        <w:rPr>
          <w:sz w:val="20"/>
        </w:rPr>
        <w:lastRenderedPageBreak/>
        <w:t>USDA</w:t>
      </w:r>
      <w:r>
        <w:rPr>
          <w:sz w:val="20"/>
        </w:rPr>
        <w:t>-</w:t>
      </w:r>
      <w:r w:rsidRPr="00DC3433">
        <w:rPr>
          <w:sz w:val="20"/>
        </w:rPr>
        <w:t xml:space="preserve">NRCS PLANTS Database / Herman, D.E. et al. 1996. North Dakota tree handbook. USDA NRCS ND State Soil Conservation Committee; NDSU Extension and Western Area Power Admin., </w:t>
      </w:r>
      <w:smartTag w:uri="urn:schemas-microsoft-com:office:smarttags" w:element="place">
        <w:smartTag w:uri="urn:schemas-microsoft-com:office:smarttags" w:element="City">
          <w:r w:rsidRPr="00DC3433">
            <w:rPr>
              <w:sz w:val="20"/>
            </w:rPr>
            <w:t>Bismarck</w:t>
          </w:r>
        </w:smartTag>
      </w:smartTag>
      <w:r w:rsidRPr="00DC3433">
        <w:rPr>
          <w:sz w:val="20"/>
        </w:rPr>
        <w:t xml:space="preserve">. </w:t>
      </w:r>
    </w:p>
    <w:p w:rsidR="00D75C8F" w:rsidRDefault="00D75C8F" w:rsidP="00D75C8F">
      <w:pPr>
        <w:pStyle w:val="Header3"/>
        <w:keepNext w:val="0"/>
        <w:rPr>
          <w:b w:val="0"/>
          <w:bCs w:val="0"/>
        </w:rPr>
      </w:pPr>
    </w:p>
    <w:p w:rsidR="00D75C8F" w:rsidRPr="00DC3433" w:rsidRDefault="00D75C8F" w:rsidP="00D75C8F">
      <w:pPr>
        <w:pStyle w:val="Header3"/>
        <w:keepNext w:val="0"/>
        <w:rPr>
          <w:b w:val="0"/>
        </w:rPr>
      </w:pPr>
      <w:r w:rsidRPr="00DC3433">
        <w:rPr>
          <w:b w:val="0"/>
        </w:rPr>
        <w:t xml:space="preserve">Zhengyi, W. and P. Raven. 1994. </w:t>
      </w:r>
      <w:r w:rsidRPr="00DC3433">
        <w:rPr>
          <w:b w:val="0"/>
          <w:i/>
          <w:iCs/>
        </w:rPr>
        <w:t xml:space="preserve">Flora of </w:t>
      </w:r>
      <w:smartTag w:uri="urn:schemas-microsoft-com:office:smarttags" w:element="place">
        <w:smartTag w:uri="urn:schemas-microsoft-com:office:smarttags" w:element="country-region">
          <w:r w:rsidRPr="00DC3433">
            <w:rPr>
              <w:b w:val="0"/>
              <w:i/>
              <w:iCs/>
            </w:rPr>
            <w:t>China</w:t>
          </w:r>
        </w:smartTag>
      </w:smartTag>
      <w:r w:rsidRPr="00DC3433">
        <w:rPr>
          <w:b w:val="0"/>
        </w:rPr>
        <w:t xml:space="preserve">. Science Press, </w:t>
      </w:r>
      <w:smartTag w:uri="urn:schemas-microsoft-com:office:smarttags" w:element="City">
        <w:r w:rsidRPr="00DC3433">
          <w:rPr>
            <w:b w:val="0"/>
          </w:rPr>
          <w:t>Bejing</w:t>
        </w:r>
      </w:smartTag>
      <w:r w:rsidRPr="00DC3433">
        <w:rPr>
          <w:b w:val="0"/>
        </w:rPr>
        <w:t xml:space="preserve">, </w:t>
      </w:r>
      <w:smartTag w:uri="urn:schemas-microsoft-com:office:smarttags" w:element="country-region">
        <w:r w:rsidRPr="00DC3433">
          <w:rPr>
            <w:b w:val="0"/>
          </w:rPr>
          <w:t>China</w:t>
        </w:r>
      </w:smartTag>
      <w:r w:rsidRPr="00DC3433">
        <w:rPr>
          <w:b w:val="0"/>
        </w:rPr>
        <w:t xml:space="preserve">, and </w:t>
      </w:r>
      <w:smartTag w:uri="urn:schemas-microsoft-com:office:smarttags" w:element="PlaceName">
        <w:r w:rsidRPr="00DC3433">
          <w:rPr>
            <w:b w:val="0"/>
          </w:rPr>
          <w:t>Missouri</w:t>
        </w:r>
      </w:smartTag>
      <w:r w:rsidRPr="00DC3433">
        <w:rPr>
          <w:b w:val="0"/>
        </w:rPr>
        <w:t xml:space="preserve"> </w:t>
      </w:r>
      <w:smartTag w:uri="urn:schemas-microsoft-com:office:smarttags" w:element="PlaceType">
        <w:r w:rsidRPr="00DC3433">
          <w:rPr>
            <w:b w:val="0"/>
          </w:rPr>
          <w:t>Botanical Garden</w:t>
        </w:r>
      </w:smartTag>
      <w:r w:rsidRPr="00DC3433">
        <w:rPr>
          <w:b w:val="0"/>
        </w:rPr>
        <w:t xml:space="preserve">, </w:t>
      </w:r>
      <w:smartTag w:uri="urn:schemas-microsoft-com:office:smarttags" w:element="place">
        <w:smartTag w:uri="urn:schemas-microsoft-com:office:smarttags" w:element="City">
          <w:r w:rsidRPr="00DC3433">
            <w:rPr>
              <w:b w:val="0"/>
            </w:rPr>
            <w:t>St. Louis</w:t>
          </w:r>
        </w:smartTag>
      </w:smartTag>
      <w:r w:rsidRPr="00DC3433">
        <w:rPr>
          <w:b w:val="0"/>
        </w:rPr>
        <w:t>.</w:t>
      </w:r>
    </w:p>
    <w:p w:rsidR="00D75C8F" w:rsidRDefault="00D75C8F" w:rsidP="00D75C8F">
      <w:pPr>
        <w:pStyle w:val="Header3"/>
        <w:keepNext w:val="0"/>
      </w:pPr>
    </w:p>
    <w:p w:rsidR="00D75C8F" w:rsidRDefault="00D75C8F" w:rsidP="00D75C8F">
      <w:pPr>
        <w:pStyle w:val="Header3"/>
      </w:pPr>
      <w:r>
        <w:t xml:space="preserve">Prepared By: </w:t>
      </w:r>
    </w:p>
    <w:p w:rsidR="00D75C8F" w:rsidRDefault="00D75C8F" w:rsidP="00D75C8F">
      <w:pPr>
        <w:pStyle w:val="Bodytext0"/>
        <w:rPr>
          <w:i/>
          <w:iCs/>
        </w:rPr>
      </w:pPr>
      <w:smartTag w:uri="urn:schemas-microsoft-com:office:smarttags" w:element="PersonName">
        <w:r>
          <w:rPr>
            <w:i/>
            <w:iCs/>
          </w:rPr>
          <w:t>Sarah</w:t>
        </w:r>
      </w:smartTag>
      <w:r>
        <w:rPr>
          <w:i/>
          <w:iCs/>
        </w:rPr>
        <w:t xml:space="preserve"> Wennerberg</w:t>
      </w:r>
    </w:p>
    <w:p w:rsidR="00D75C8F" w:rsidRDefault="00D75C8F" w:rsidP="00D75C8F">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D75C8F" w:rsidRDefault="00D75C8F" w:rsidP="00D75C8F">
      <w:pPr>
        <w:pStyle w:val="Header3"/>
      </w:pPr>
    </w:p>
    <w:p w:rsidR="00D75C8F" w:rsidRDefault="00D75C8F" w:rsidP="00D75C8F">
      <w:pPr>
        <w:pStyle w:val="Header3"/>
      </w:pPr>
      <w:r>
        <w:t xml:space="preserve">Species Coordinator: </w:t>
      </w:r>
    </w:p>
    <w:p w:rsidR="00D75C8F" w:rsidRDefault="00D75C8F" w:rsidP="00D75C8F">
      <w:pPr>
        <w:pStyle w:val="Bodytext0"/>
        <w:rPr>
          <w:i/>
          <w:iCs/>
        </w:rPr>
      </w:pPr>
      <w:r>
        <w:rPr>
          <w:i/>
          <w:iCs/>
        </w:rPr>
        <w:t>Mark Skinner</w:t>
      </w:r>
    </w:p>
    <w:p w:rsidR="00D75C8F" w:rsidRPr="00DC3433" w:rsidRDefault="00D75C8F" w:rsidP="00D75C8F">
      <w:pPr>
        <w:pStyle w:val="Header3"/>
        <w:rPr>
          <w:b w:val="0"/>
        </w:rPr>
      </w:pPr>
      <w:smartTag w:uri="urn:schemas-microsoft-com:office:smarttags" w:element="PlaceName">
        <w:r>
          <w:rPr>
            <w:b w:val="0"/>
          </w:rPr>
          <w:t>USDA</w:t>
        </w:r>
      </w:smartTag>
      <w:r>
        <w:rPr>
          <w:b w:val="0"/>
        </w:rPr>
        <w:t xml:space="preserve"> </w:t>
      </w:r>
      <w:smartTag w:uri="urn:schemas-microsoft-com:office:smarttags" w:element="PlaceName">
        <w:r w:rsidRPr="00DC3433">
          <w:rPr>
            <w:b w:val="0"/>
          </w:rPr>
          <w:t>NRCS</w:t>
        </w:r>
      </w:smartTag>
      <w:r w:rsidRPr="00DC3433">
        <w:rPr>
          <w:b w:val="0"/>
        </w:rPr>
        <w:t xml:space="preserve"> </w:t>
      </w:r>
      <w:smartTag w:uri="urn:schemas-microsoft-com:office:smarttags" w:element="PlaceName">
        <w:r w:rsidRPr="00DC3433">
          <w:rPr>
            <w:b w:val="0"/>
          </w:rPr>
          <w:t>National</w:t>
        </w:r>
      </w:smartTag>
      <w:r w:rsidRPr="00DC3433">
        <w:rPr>
          <w:b w:val="0"/>
        </w:rPr>
        <w:t xml:space="preserve"> </w:t>
      </w:r>
      <w:smartTag w:uri="urn:schemas-microsoft-com:office:smarttags" w:element="PlaceName">
        <w:r w:rsidRPr="00DC3433">
          <w:rPr>
            <w:b w:val="0"/>
          </w:rPr>
          <w:t>Plant</w:t>
        </w:r>
      </w:smartTag>
      <w:r w:rsidRPr="00DC3433">
        <w:rPr>
          <w:b w:val="0"/>
        </w:rPr>
        <w:t xml:space="preserve"> </w:t>
      </w:r>
      <w:smartTag w:uri="urn:schemas-microsoft-com:office:smarttags" w:element="PlaceName">
        <w:r w:rsidRPr="00DC3433">
          <w:rPr>
            <w:b w:val="0"/>
          </w:rPr>
          <w:t>Data</w:t>
        </w:r>
      </w:smartTag>
      <w:r w:rsidRPr="00DC3433">
        <w:rPr>
          <w:b w:val="0"/>
        </w:rPr>
        <w:t xml:space="preserve"> </w:t>
      </w:r>
      <w:smartTag w:uri="urn:schemas-microsoft-com:office:smarttags" w:element="PlaceType">
        <w:r w:rsidRPr="00DC3433">
          <w:rPr>
            <w:b w:val="0"/>
          </w:rPr>
          <w:t>Center</w:t>
        </w:r>
      </w:smartTag>
      <w:r>
        <w:rPr>
          <w:b w:val="0"/>
        </w:rPr>
        <w:t xml:space="preserve">, </w:t>
      </w:r>
      <w:smartTag w:uri="urn:schemas-microsoft-com:office:smarttags" w:element="place">
        <w:smartTag w:uri="urn:schemas-microsoft-com:office:smarttags" w:element="City">
          <w:r w:rsidRPr="00DC3433">
            <w:rPr>
              <w:b w:val="0"/>
            </w:rPr>
            <w:t>Baton Rouge</w:t>
          </w:r>
        </w:smartTag>
        <w:r w:rsidRPr="00DC3433">
          <w:rPr>
            <w:b w:val="0"/>
          </w:rPr>
          <w:t xml:space="preserve">, </w:t>
        </w:r>
        <w:smartTag w:uri="urn:schemas-microsoft-com:office:smarttags" w:element="State">
          <w:r w:rsidRPr="00DC3433">
            <w:rPr>
              <w:b w:val="0"/>
            </w:rPr>
            <w:t>Louisiana</w:t>
          </w:r>
        </w:smartTag>
      </w:smartTag>
    </w:p>
    <w:p w:rsidR="00D75C8F" w:rsidRDefault="00D75C8F" w:rsidP="00D75C8F"/>
    <w:p w:rsidR="00D75C8F" w:rsidRPr="00D41BD7" w:rsidRDefault="00D75C8F" w:rsidP="00D75C8F">
      <w:pPr>
        <w:pStyle w:val="Header4"/>
        <w:rPr>
          <w:sz w:val="16"/>
          <w:szCs w:val="16"/>
        </w:rPr>
      </w:pPr>
      <w:r w:rsidRPr="00D41BD7">
        <w:rPr>
          <w:sz w:val="16"/>
          <w:szCs w:val="16"/>
        </w:rPr>
        <w:t>Edited: 25June2004 sbw; 20Oct2004 rln;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81F" w:rsidRDefault="0093581F">
      <w:r>
        <w:separator/>
      </w:r>
    </w:p>
  </w:endnote>
  <w:endnote w:type="continuationSeparator" w:id="0">
    <w:p w:rsidR="0093581F" w:rsidRDefault="009358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81F" w:rsidRDefault="0093581F">
      <w:r>
        <w:separator/>
      </w:r>
    </w:p>
  </w:footnote>
  <w:footnote w:type="continuationSeparator" w:id="0">
    <w:p w:rsidR="0093581F" w:rsidRDefault="009358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6261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55383"/>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B78BD"/>
    <w:rsid w:val="005F57D8"/>
    <w:rsid w:val="0061608E"/>
    <w:rsid w:val="006333FE"/>
    <w:rsid w:val="00660D73"/>
    <w:rsid w:val="006B4B3E"/>
    <w:rsid w:val="00712AC4"/>
    <w:rsid w:val="007A3680"/>
    <w:rsid w:val="007F3743"/>
    <w:rsid w:val="00830F95"/>
    <w:rsid w:val="0089154B"/>
    <w:rsid w:val="008B3C33"/>
    <w:rsid w:val="008E6018"/>
    <w:rsid w:val="008F3D5A"/>
    <w:rsid w:val="0093581F"/>
    <w:rsid w:val="00982214"/>
    <w:rsid w:val="009F0497"/>
    <w:rsid w:val="00A06FE6"/>
    <w:rsid w:val="00A12175"/>
    <w:rsid w:val="00A8423D"/>
    <w:rsid w:val="00AA3709"/>
    <w:rsid w:val="00AB0F7A"/>
    <w:rsid w:val="00AD30BE"/>
    <w:rsid w:val="00B35B61"/>
    <w:rsid w:val="00B6261C"/>
    <w:rsid w:val="00B755F2"/>
    <w:rsid w:val="00B841F9"/>
    <w:rsid w:val="00B8425D"/>
    <w:rsid w:val="00BD616F"/>
    <w:rsid w:val="00BE5356"/>
    <w:rsid w:val="00BF44A8"/>
    <w:rsid w:val="00C71B7B"/>
    <w:rsid w:val="00C81773"/>
    <w:rsid w:val="00CD49CC"/>
    <w:rsid w:val="00CF06F8"/>
    <w:rsid w:val="00CF7EC1"/>
    <w:rsid w:val="00D62818"/>
    <w:rsid w:val="00D75C8F"/>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COTONEASTER</vt:lpstr>
    </vt:vector>
  </TitlesOfParts>
  <Company>USDA NRCS National Plant Data Center</Company>
  <LinksUpToDate>false</LinksUpToDate>
  <CharactersWithSpaces>7160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COTONEASTER</dc:title>
  <dc:subject>Cotoneaster integerrimus Medik.</dc:subject>
  <dc:creator>William Farrell</dc:creator>
  <cp:keywords/>
  <cp:lastModifiedBy>William Farrell</cp:lastModifiedBy>
  <cp:revision>2</cp:revision>
  <cp:lastPrinted>2003-06-09T21:39:00Z</cp:lastPrinted>
  <dcterms:created xsi:type="dcterms:W3CDTF">2011-01-25T22:49:00Z</dcterms:created>
  <dcterms:modified xsi:type="dcterms:W3CDTF">2011-01-25T22:49:00Z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