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D55F3" w:rsidP="000578C2">
            <w:pPr>
              <w:pStyle w:val="TitleHeader"/>
              <w:rPr>
                <w:i/>
              </w:rPr>
            </w:pPr>
            <w:r>
              <w:lastRenderedPageBreak/>
              <w:t>american silverberry</w:t>
            </w:r>
          </w:p>
        </w:tc>
      </w:tr>
      <w:tr w:rsidR="00CD49CC">
        <w:tblPrEx>
          <w:tblCellMar>
            <w:top w:w="0" w:type="dxa"/>
            <w:bottom w:w="0" w:type="dxa"/>
          </w:tblCellMar>
        </w:tblPrEx>
        <w:tc>
          <w:tcPr>
            <w:tcW w:w="4410" w:type="dxa"/>
          </w:tcPr>
          <w:p w:rsidR="00CD49CC" w:rsidRPr="008F3D5A" w:rsidRDefault="00CD55F3" w:rsidP="008F3D5A">
            <w:pPr>
              <w:pStyle w:val="Titlesubheader1"/>
              <w:rPr>
                <w:i/>
              </w:rPr>
            </w:pPr>
            <w:r>
              <w:rPr>
                <w:i/>
              </w:rPr>
              <w:t>Elaeagnus commutata</w:t>
            </w:r>
            <w:r w:rsidR="000F1970" w:rsidRPr="008F3D5A">
              <w:t xml:space="preserve"> </w:t>
            </w:r>
            <w:r>
              <w:t>Bernh. ex Rydb.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D55F3">
              <w:t>ELCO</w:t>
            </w:r>
          </w:p>
        </w:tc>
      </w:tr>
    </w:tbl>
    <w:p w:rsidR="00CD49CC" w:rsidRPr="004A50AC" w:rsidRDefault="00CD49CC" w:rsidP="004A50AC">
      <w:pPr>
        <w:jc w:val="left"/>
        <w:rPr>
          <w:sz w:val="20"/>
        </w:rPr>
      </w:pPr>
    </w:p>
    <w:p w:rsidR="00BE2DEA" w:rsidRPr="00BE2DEA" w:rsidRDefault="00BE2DEA" w:rsidP="00BE2DEA">
      <w:pPr>
        <w:pStyle w:val="Heading7"/>
        <w:jc w:val="left"/>
        <w:rPr>
          <w:b w:val="0"/>
          <w:i/>
          <w:sz w:val="20"/>
        </w:rPr>
      </w:pPr>
      <w:r w:rsidRPr="00BE2DEA">
        <w:rPr>
          <w:b w:val="0"/>
          <w:i/>
          <w:sz w:val="20"/>
        </w:rPr>
        <w:t xml:space="preserve">Contributed By: </w:t>
      </w:r>
      <w:smartTag w:uri="urn:schemas-microsoft-com:office:smarttags" w:element="PlaceName">
        <w:r w:rsidRPr="00BE2DEA">
          <w:rPr>
            <w:b w:val="0"/>
            <w:i/>
            <w:sz w:val="20"/>
          </w:rPr>
          <w:t>USDA</w:t>
        </w:r>
      </w:smartTag>
      <w:r w:rsidRPr="00BE2DEA">
        <w:rPr>
          <w:b w:val="0"/>
          <w:i/>
          <w:sz w:val="20"/>
        </w:rPr>
        <w:t xml:space="preserve"> </w:t>
      </w:r>
      <w:smartTag w:uri="urn:schemas-microsoft-com:office:smarttags" w:element="PlaceName">
        <w:r w:rsidRPr="00BE2DEA">
          <w:rPr>
            <w:b w:val="0"/>
            <w:i/>
            <w:sz w:val="20"/>
          </w:rPr>
          <w:t>NRCS</w:t>
        </w:r>
      </w:smartTag>
      <w:r w:rsidRPr="00BE2DEA">
        <w:rPr>
          <w:b w:val="0"/>
          <w:i/>
          <w:sz w:val="20"/>
        </w:rPr>
        <w:t xml:space="preserve"> </w:t>
      </w:r>
      <w:smartTag w:uri="urn:schemas-microsoft-com:office:smarttags" w:element="PlaceName">
        <w:r w:rsidRPr="00BE2DEA">
          <w:rPr>
            <w:b w:val="0"/>
            <w:i/>
            <w:sz w:val="20"/>
          </w:rPr>
          <w:t>National</w:t>
        </w:r>
      </w:smartTag>
      <w:r w:rsidRPr="00BE2DEA">
        <w:rPr>
          <w:b w:val="0"/>
          <w:i/>
          <w:sz w:val="20"/>
        </w:rPr>
        <w:t xml:space="preserve"> </w:t>
      </w:r>
      <w:smartTag w:uri="urn:schemas-microsoft-com:office:smarttags" w:element="PlaceName">
        <w:r w:rsidRPr="00BE2DEA">
          <w:rPr>
            <w:b w:val="0"/>
            <w:i/>
            <w:sz w:val="20"/>
          </w:rPr>
          <w:t>Plant</w:t>
        </w:r>
      </w:smartTag>
      <w:r w:rsidRPr="00BE2DEA">
        <w:rPr>
          <w:b w:val="0"/>
          <w:i/>
          <w:sz w:val="20"/>
        </w:rPr>
        <w:t xml:space="preserve"> </w:t>
      </w:r>
      <w:smartTag w:uri="urn:schemas-microsoft-com:office:smarttags" w:element="PlaceName">
        <w:r w:rsidRPr="00BE2DEA">
          <w:rPr>
            <w:b w:val="0"/>
            <w:i/>
            <w:sz w:val="20"/>
          </w:rPr>
          <w:t>Data</w:t>
        </w:r>
      </w:smartTag>
      <w:r w:rsidRPr="00BE2DEA">
        <w:rPr>
          <w:b w:val="0"/>
          <w:i/>
          <w:sz w:val="20"/>
        </w:rPr>
        <w:t xml:space="preserve"> </w:t>
      </w:r>
      <w:smartTag w:uri="urn:schemas-microsoft-com:office:smarttags" w:element="PlaceType">
        <w:r w:rsidRPr="00BE2DEA">
          <w:rPr>
            <w:b w:val="0"/>
            <w:i/>
            <w:sz w:val="20"/>
          </w:rPr>
          <w:t>Center</w:t>
        </w:r>
      </w:smartTag>
      <w:r w:rsidRPr="00BE2DEA">
        <w:rPr>
          <w:b w:val="0"/>
          <w:i/>
          <w:sz w:val="20"/>
        </w:rPr>
        <w:t xml:space="preserve"> &amp; the Biota of </w:t>
      </w:r>
      <w:smartTag w:uri="urn:schemas-microsoft-com:office:smarttags" w:element="place">
        <w:r w:rsidRPr="00BE2DEA">
          <w:rPr>
            <w:b w:val="0"/>
            <w:i/>
            <w:sz w:val="20"/>
          </w:rPr>
          <w:t>North America</w:t>
        </w:r>
      </w:smartTag>
      <w:r w:rsidRPr="00BE2DEA">
        <w:rPr>
          <w:b w:val="0"/>
          <w:i/>
          <w:sz w:val="20"/>
        </w:rPr>
        <w:t xml:space="preserve"> Program</w:t>
      </w:r>
    </w:p>
    <w:p w:rsidR="00BE2DEA" w:rsidRPr="00BE2DEA" w:rsidRDefault="00BE2DEA" w:rsidP="00BE2DEA">
      <w:pPr>
        <w:pStyle w:val="Header"/>
        <w:tabs>
          <w:tab w:val="clear" w:pos="4320"/>
          <w:tab w:val="clear" w:pos="8640"/>
        </w:tabs>
        <w:jc w:val="left"/>
        <w:rPr>
          <w:sz w:val="20"/>
        </w:rPr>
      </w:pPr>
      <w:r w:rsidRPr="00BE2DEA">
        <w:rPr>
          <w:noProof/>
          <w:sz w:val="20"/>
        </w:rPr>
        <w:pict>
          <v:shapetype id="_x0000_t202" coordsize="21600,21600" o:spt="202" path="m,l,21600r21600,l21600,xe">
            <v:stroke joinstyle="miter"/>
            <v:path gradientshapeok="t" o:connecttype="rect"/>
          </v:shapetype>
          <v:shape id="_x0000_s1066" type="#_x0000_t202" style="position:absolute;margin-left:0;margin-top:8.6pt;width:3in;height:302.4pt;z-index:251657728" o:allowincell="f" stroked="f">
            <v:textbox>
              <w:txbxContent>
                <w:p w:rsidR="00BE2DEA" w:rsidRDefault="003A4887" w:rsidP="00BE2DEA">
                  <w:r>
                    <w:rPr>
                      <w:noProof/>
                    </w:rPr>
                    <w:drawing>
                      <wp:inline distT="0" distB="0" distL="0" distR="0">
                        <wp:extent cx="2562225" cy="3257550"/>
                        <wp:effectExtent l="19050" t="0" r="9525" b="0"/>
                        <wp:docPr id="2" name="Picture 2" descr="Image of American silverberry (Elaeagnus commut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silverberry (Elaeagnus commutata)"/>
                                <pic:cNvPicPr>
                                  <a:picLocks noChangeAspect="1" noChangeArrowheads="1"/>
                                </pic:cNvPicPr>
                              </pic:nvPicPr>
                              <pic:blipFill>
                                <a:blip r:embed="rId9"/>
                                <a:srcRect/>
                                <a:stretch>
                                  <a:fillRect/>
                                </a:stretch>
                              </pic:blipFill>
                              <pic:spPr bwMode="auto">
                                <a:xfrm>
                                  <a:off x="0" y="0"/>
                                  <a:ext cx="2562225" cy="3257550"/>
                                </a:xfrm>
                                <a:prstGeom prst="rect">
                                  <a:avLst/>
                                </a:prstGeom>
                                <a:noFill/>
                                <a:ln w="9525">
                                  <a:noFill/>
                                  <a:miter lim="800000"/>
                                  <a:headEnd/>
                                  <a:tailEnd/>
                                </a:ln>
                              </pic:spPr>
                            </pic:pic>
                          </a:graphicData>
                        </a:graphic>
                      </wp:inline>
                    </w:drawing>
                  </w:r>
                </w:p>
                <w:p w:rsidR="00BE2DEA" w:rsidRDefault="00BE2DEA" w:rsidP="00BE2DEA">
                  <w:pPr>
                    <w:jc w:val="right"/>
                    <w:rPr>
                      <w:sz w:val="16"/>
                    </w:rPr>
                  </w:pPr>
                  <w:r>
                    <w:rPr>
                      <w:sz w:val="16"/>
                    </w:rPr>
                    <w:t>Jeanne Russell Janish</w:t>
                  </w:r>
                </w:p>
                <w:p w:rsidR="00BE2DEA" w:rsidRDefault="00BE2DEA" w:rsidP="00BE2DEA">
                  <w:pPr>
                    <w:jc w:val="right"/>
                    <w:rPr>
                      <w:sz w:val="16"/>
                    </w:rPr>
                  </w:pPr>
                  <w:r>
                    <w:rPr>
                      <w:sz w:val="16"/>
                    </w:rPr>
                    <w:t>Used with permission of the publishers</w:t>
                  </w:r>
                </w:p>
                <w:p w:rsidR="00BE2DEA" w:rsidRDefault="00BE2DEA" w:rsidP="00BE2DEA">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Stanford</w:t>
                      </w:r>
                    </w:smartTag>
                    <w:r>
                      <w:rPr>
                        <w:sz w:val="16"/>
                      </w:rPr>
                      <w:t xml:space="preserve"> </w:t>
                    </w:r>
                    <w:smartTag w:uri="urn:schemas-microsoft-com:office:smarttags" w:element="PlaceType">
                      <w:r>
                        <w:rPr>
                          <w:sz w:val="16"/>
                        </w:rPr>
                        <w:t>University</w:t>
                      </w:r>
                    </w:smartTag>
                  </w:smartTag>
                </w:p>
                <w:p w:rsidR="00BE2DEA" w:rsidRDefault="00BE2DEA" w:rsidP="00BE2DEA">
                  <w:pPr>
                    <w:jc w:val="right"/>
                    <w:rPr>
                      <w:sz w:val="16"/>
                    </w:rPr>
                  </w:pPr>
                  <w:r>
                    <w:rPr>
                      <w:sz w:val="16"/>
                    </w:rPr>
                    <w:t>Abrams (1951)</w:t>
                  </w:r>
                </w:p>
              </w:txbxContent>
            </v:textbox>
            <w10:wrap type="topAndBottom"/>
          </v:shape>
        </w:pict>
      </w:r>
    </w:p>
    <w:p w:rsidR="00BE2DEA" w:rsidRPr="00BE2DEA" w:rsidRDefault="00BE2DEA" w:rsidP="00BE2DEA">
      <w:pPr>
        <w:pStyle w:val="Heading2"/>
        <w:jc w:val="left"/>
        <w:rPr>
          <w:sz w:val="20"/>
        </w:rPr>
      </w:pPr>
      <w:r w:rsidRPr="00BE2DEA">
        <w:rPr>
          <w:sz w:val="20"/>
        </w:rPr>
        <w:t>Alternate common names</w:t>
      </w:r>
    </w:p>
    <w:p w:rsidR="00BE2DEA" w:rsidRPr="00BE2DEA" w:rsidRDefault="00BE2DEA" w:rsidP="00BE2DEA">
      <w:pPr>
        <w:jc w:val="left"/>
        <w:rPr>
          <w:sz w:val="20"/>
        </w:rPr>
      </w:pPr>
      <w:r w:rsidRPr="00BE2DEA">
        <w:rPr>
          <w:sz w:val="20"/>
        </w:rPr>
        <w:t>Silverberry, wolf-willow</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Uses</w:t>
      </w:r>
    </w:p>
    <w:p w:rsidR="00BE2DEA" w:rsidRPr="00BE2DEA" w:rsidRDefault="00BE2DEA" w:rsidP="00BE2DEA">
      <w:pPr>
        <w:jc w:val="left"/>
        <w:rPr>
          <w:sz w:val="20"/>
        </w:rPr>
      </w:pPr>
      <w:r w:rsidRPr="00BE2DEA">
        <w:rPr>
          <w:i/>
          <w:sz w:val="20"/>
        </w:rPr>
        <w:t>Wildlife/Livestock</w:t>
      </w:r>
      <w:r w:rsidRPr="00BE2DEA">
        <w:rPr>
          <w:sz w:val="20"/>
        </w:rPr>
        <w:t xml:space="preserve">: American silverberry is an important wildlife food for moose, elk, mule deer and white-tailed deer, pronghorn, upland game birds, small nongame birds, small mammals, and waterfowl.  Its palatability is rated poor for cattle and horses and fair for sheep.  American silverberry also provides protection and nesting cover for these same animals, particularly in grasslands and other mostly </w:t>
      </w:r>
      <w:r w:rsidRPr="00BE2DEA">
        <w:rPr>
          <w:sz w:val="20"/>
        </w:rPr>
        <w:lastRenderedPageBreak/>
        <w:t xml:space="preserve">open habitats.  In mature White Spruce forests of the </w:t>
      </w:r>
      <w:smartTag w:uri="urn:schemas-microsoft-com:office:smarttags" w:element="State">
        <w:smartTag w:uri="urn:schemas-microsoft-com:office:smarttags" w:element="place">
          <w:r w:rsidRPr="00BE2DEA">
            <w:rPr>
              <w:sz w:val="20"/>
            </w:rPr>
            <w:t>Yukon Territory</w:t>
          </w:r>
        </w:smartTag>
      </w:smartTag>
      <w:r w:rsidRPr="00BE2DEA">
        <w:rPr>
          <w:sz w:val="20"/>
        </w:rPr>
        <w:t>, it provides important habitat for snowshoe hares.</w:t>
      </w:r>
    </w:p>
    <w:p w:rsidR="00BE2DEA" w:rsidRPr="00BE2DEA" w:rsidRDefault="00BE2DEA" w:rsidP="00BE2DEA">
      <w:pPr>
        <w:jc w:val="left"/>
        <w:rPr>
          <w:sz w:val="20"/>
        </w:rPr>
      </w:pPr>
    </w:p>
    <w:p w:rsidR="00BE2DEA" w:rsidRPr="00BE2DEA" w:rsidRDefault="00BE2DEA" w:rsidP="00BE2DEA">
      <w:pPr>
        <w:jc w:val="left"/>
        <w:rPr>
          <w:sz w:val="20"/>
        </w:rPr>
      </w:pPr>
      <w:r w:rsidRPr="00BE2DEA">
        <w:rPr>
          <w:i/>
          <w:sz w:val="20"/>
        </w:rPr>
        <w:t>Ethnobotany</w:t>
      </w:r>
      <w:r w:rsidRPr="00BE2DEA">
        <w:rPr>
          <w:sz w:val="20"/>
        </w:rPr>
        <w:t xml:space="preserve">: The fleshy fruit of American silverberry is cooked in moose fat and eaten by some Alaskan natives.  The pits of the fruits are used as necklace beads in the </w:t>
      </w:r>
      <w:smartTag w:uri="urn:schemas-microsoft-com:office:smarttags" w:element="PlaceType">
        <w:r w:rsidRPr="00BE2DEA">
          <w:rPr>
            <w:sz w:val="20"/>
          </w:rPr>
          <w:t>Fort</w:t>
        </w:r>
      </w:smartTag>
      <w:r w:rsidRPr="00BE2DEA">
        <w:rPr>
          <w:sz w:val="20"/>
        </w:rPr>
        <w:t xml:space="preserve"> </w:t>
      </w:r>
      <w:smartTag w:uri="urn:schemas-microsoft-com:office:smarttags" w:element="PlaceName">
        <w:r w:rsidRPr="00BE2DEA">
          <w:rPr>
            <w:sz w:val="20"/>
          </w:rPr>
          <w:t>Yukon</w:t>
        </w:r>
      </w:smartTag>
      <w:r w:rsidRPr="00BE2DEA">
        <w:rPr>
          <w:sz w:val="20"/>
        </w:rPr>
        <w:t xml:space="preserve"> region of </w:t>
      </w:r>
      <w:smartTag w:uri="urn:schemas-microsoft-com:office:smarttags" w:element="State">
        <w:smartTag w:uri="urn:schemas-microsoft-com:office:smarttags" w:element="place">
          <w:r w:rsidRPr="00BE2DEA">
            <w:rPr>
              <w:sz w:val="20"/>
            </w:rPr>
            <w:t>Alaska</w:t>
          </w:r>
        </w:smartTag>
      </w:smartTag>
      <w:r w:rsidRPr="00BE2DEA">
        <w:rPr>
          <w:sz w:val="20"/>
        </w:rPr>
        <w:t xml:space="preserve">.  </w:t>
      </w:r>
    </w:p>
    <w:p w:rsidR="00BE2DEA" w:rsidRPr="00BE2DEA" w:rsidRDefault="00BE2DEA" w:rsidP="00BE2DEA">
      <w:pPr>
        <w:jc w:val="left"/>
        <w:rPr>
          <w:sz w:val="20"/>
        </w:rPr>
      </w:pPr>
    </w:p>
    <w:p w:rsidR="00BE2DEA" w:rsidRPr="00BE2DEA" w:rsidRDefault="00BE2DEA" w:rsidP="00BE2DEA">
      <w:pPr>
        <w:jc w:val="left"/>
        <w:rPr>
          <w:sz w:val="20"/>
        </w:rPr>
      </w:pPr>
      <w:r w:rsidRPr="00BE2DEA">
        <w:rPr>
          <w:i/>
          <w:sz w:val="20"/>
        </w:rPr>
        <w:t>Conservation</w:t>
      </w:r>
      <w:r w:rsidRPr="00BE2DEA">
        <w:rPr>
          <w:sz w:val="20"/>
        </w:rPr>
        <w:t xml:space="preserve">: The vigorous rhizomatous habit of American silverberry helps it spread quickly in disturbed sites, and it has been used for soil stabilization of mine spoils in </w:t>
      </w:r>
      <w:smartTag w:uri="urn:schemas-microsoft-com:office:smarttags" w:element="State">
        <w:r w:rsidRPr="00BE2DEA">
          <w:rPr>
            <w:sz w:val="20"/>
          </w:rPr>
          <w:t>British Columbia</w:t>
        </w:r>
      </w:smartTag>
      <w:r w:rsidRPr="00BE2DEA">
        <w:rPr>
          <w:sz w:val="20"/>
        </w:rPr>
        <w:t xml:space="preserve"> and </w:t>
      </w:r>
      <w:smartTag w:uri="urn:schemas-microsoft-com:office:smarttags" w:element="State">
        <w:smartTag w:uri="urn:schemas-microsoft-com:office:smarttags" w:element="place">
          <w:r w:rsidRPr="00BE2DEA">
            <w:rPr>
              <w:sz w:val="20"/>
            </w:rPr>
            <w:t>Alberta</w:t>
          </w:r>
        </w:smartTag>
      </w:smartTag>
      <w:r w:rsidRPr="00BE2DEA">
        <w:rPr>
          <w:sz w:val="20"/>
        </w:rPr>
        <w:t xml:space="preserve">.  Pre-inoculation with mycorrhizal and nitrogen-fixing symbionts may result in more rapid revegetation.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Status</w:t>
      </w:r>
    </w:p>
    <w:p w:rsidR="00BE2DEA" w:rsidRPr="00BE2DEA" w:rsidRDefault="00BE2DEA" w:rsidP="00BE2DEA">
      <w:pPr>
        <w:jc w:val="left"/>
        <w:rPr>
          <w:sz w:val="20"/>
        </w:rPr>
      </w:pPr>
      <w:r w:rsidRPr="00BE2DEA">
        <w:rPr>
          <w:sz w:val="20"/>
        </w:rPr>
        <w:t>Please consult the PLANTS Web site and your State Department of Natural Resources for this plant’s current status, such as, state noxious status and wetland indicator values.</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Description</w:t>
      </w:r>
    </w:p>
    <w:p w:rsidR="00BE2DEA" w:rsidRPr="00BE2DEA" w:rsidRDefault="00BE2DEA" w:rsidP="00BE2DEA">
      <w:pPr>
        <w:tabs>
          <w:tab w:val="left" w:pos="720"/>
          <w:tab w:val="left" w:pos="1170"/>
          <w:tab w:val="right" w:leader="dot" w:pos="9360"/>
        </w:tabs>
        <w:suppressAutoHyphens/>
        <w:jc w:val="left"/>
        <w:rPr>
          <w:sz w:val="20"/>
        </w:rPr>
      </w:pPr>
      <w:r w:rsidRPr="00BE2DEA">
        <w:rPr>
          <w:i/>
          <w:sz w:val="20"/>
        </w:rPr>
        <w:t>General</w:t>
      </w:r>
      <w:r w:rsidRPr="00BE2DEA">
        <w:rPr>
          <w:sz w:val="20"/>
        </w:rPr>
        <w:t xml:space="preserve">: Oleaster family (Elaeagnaceae).  Long-lived shrubs, growing 1-4 m tall, rarely small trees, strongly rhizomatous, and stoloniferous, sometimes forming thickets or loose colonies, the branches thornless, reddish brown, sparsely to densely covered with silvery scales.  Leaves are deciduous, simple, alternate, 2-10 cm long, ovate to oblong or ovate-lanceolate, wedge-shaped at base, short petioled, both surfaces covered by minute, silver scales, sometimes with scattered brown scales beneath.  Flowers are bisexual or unisexual, sweet-scented, short-stalked in lateral clusters of 1-3 on twigs of the current year; petals absent, the sepals forming a 4-lobed tube from the top of the developing fruit (the ovary inferior), yellowish inside, silvery outside, 12-15 mm long.  Fruits are ovate to ellipsoid, 8-10 mm long, silvery-covered with a dry mealy flesh covering a single, ellipsoid stone.  North American native with fruits covered by silver scales.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Distribution</w:t>
      </w:r>
    </w:p>
    <w:p w:rsidR="00BE2DEA" w:rsidRPr="00BE2DEA" w:rsidRDefault="00BE2DEA" w:rsidP="00BE2DEA">
      <w:pPr>
        <w:jc w:val="left"/>
        <w:rPr>
          <w:sz w:val="20"/>
        </w:rPr>
      </w:pPr>
      <w:r w:rsidRPr="00BE2DEA">
        <w:rPr>
          <w:sz w:val="20"/>
        </w:rPr>
        <w:t xml:space="preserve">American silverberry is distributed across northern North America, from Alaska, Yukon Territory, and the Northwest Territories through Canada, except for the easternmost provinces (New Brunswick, Nova Scotia, Newfoundland), and in the United States from Washington to Minnesota and southward to northeastern Utah and Colorado.  “Escapes” </w:t>
      </w:r>
      <w:r w:rsidRPr="00BE2DEA">
        <w:rPr>
          <w:sz w:val="20"/>
        </w:rPr>
        <w:lastRenderedPageBreak/>
        <w:t xml:space="preserve">(presumably from cultivation) occur in </w:t>
      </w:r>
      <w:smartTag w:uri="urn:schemas-microsoft-com:office:smarttags" w:element="State">
        <w:r w:rsidRPr="00BE2DEA">
          <w:rPr>
            <w:sz w:val="20"/>
          </w:rPr>
          <w:t>Texas</w:t>
        </w:r>
      </w:smartTag>
      <w:r w:rsidRPr="00BE2DEA">
        <w:rPr>
          <w:sz w:val="20"/>
        </w:rPr>
        <w:t xml:space="preserve"> and </w:t>
      </w:r>
      <w:smartTag w:uri="urn:schemas-microsoft-com:office:smarttags" w:element="State">
        <w:smartTag w:uri="urn:schemas-microsoft-com:office:smarttags" w:element="place">
          <w:r w:rsidRPr="00BE2DEA">
            <w:rPr>
              <w:sz w:val="20"/>
            </w:rPr>
            <w:t>Kentucky</w:t>
          </w:r>
        </w:smartTag>
      </w:smartTag>
      <w:r w:rsidRPr="00BE2DEA">
        <w:rPr>
          <w:sz w:val="20"/>
        </w:rPr>
        <w:t xml:space="preserve">.  Although the species is wide-ranging, the plants usually are uncommon to rare and local where they occur.  For current distribution, please consult the Plant Profile page for this species on the PLANTS Web site.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 xml:space="preserve">Adaptation </w:t>
      </w:r>
    </w:p>
    <w:p w:rsidR="00BE2DEA" w:rsidRPr="00BE2DEA" w:rsidRDefault="00BE2DEA" w:rsidP="00BE2DEA">
      <w:pPr>
        <w:jc w:val="left"/>
        <w:rPr>
          <w:sz w:val="20"/>
        </w:rPr>
      </w:pPr>
      <w:r w:rsidRPr="00BE2DEA">
        <w:rPr>
          <w:sz w:val="20"/>
        </w:rPr>
        <w:t xml:space="preserve">American silverberry commonly occurs in riparian communities along watercourses and is ranked as a facultative wetland species in </w:t>
      </w:r>
      <w:smartTag w:uri="urn:schemas-microsoft-com:office:smarttags" w:element="State">
        <w:smartTag w:uri="urn:schemas-microsoft-com:office:smarttags" w:element="place">
          <w:r w:rsidRPr="00BE2DEA">
            <w:rPr>
              <w:sz w:val="20"/>
            </w:rPr>
            <w:t>Alaska</w:t>
          </w:r>
        </w:smartTag>
      </w:smartTag>
      <w:r w:rsidRPr="00BE2DEA">
        <w:rPr>
          <w:sz w:val="20"/>
        </w:rPr>
        <w:t xml:space="preserve">.  It also grows in open grasslands and a variety of open forests and thickets.  Because of its relative shade intolerance, it usually is found in open vegetation, particularly where soil disturbance has occurred.  It is a dominant species and indicator of relatively young (6-19 years old) quaking aspen parkland communities in the Canadian Prairie Provinces.  The tough leaves, with their dense and close cover of scales, probably are at least partially responsible for the drought resistance of silverberry.  Plants also are wind resistant and tolerate temperatures down to about -40°C.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Although it grows best in loamy soils, American silverberry is commonly found in dry, sandy or gravelly soils, including those highly susceptible to erosion.  The species occurs over a wide range of elevation (300-8000 feet).  Flowering in June-August; fruiting mostly August-October.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Establishment</w:t>
      </w:r>
    </w:p>
    <w:p w:rsidR="00BE2DEA" w:rsidRPr="00BE2DEA" w:rsidRDefault="00BE2DEA" w:rsidP="00BE2DEA">
      <w:pPr>
        <w:jc w:val="left"/>
        <w:rPr>
          <w:sz w:val="20"/>
        </w:rPr>
      </w:pPr>
      <w:r w:rsidRPr="00BE2DEA">
        <w:rPr>
          <w:sz w:val="20"/>
        </w:rPr>
        <w:t xml:space="preserve">Seeds are produced in good crops every 1-2 years.  They remain viable 1-2 years or more and germination may require a natural stratification period of nearly two years.  Birds are the primary seed dispersers.  American silverberry also reproduces and spreads by rhizomes.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Plants cut back severely to old wood can still regenerate.  Cuttings are slow and difficult to root, usually requiring at least 12 months for good establishment.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 xml:space="preserve">Management </w:t>
      </w:r>
    </w:p>
    <w:p w:rsidR="00BE2DEA" w:rsidRPr="00BE2DEA" w:rsidRDefault="00BE2DEA" w:rsidP="00BE2DEA">
      <w:pPr>
        <w:jc w:val="left"/>
        <w:rPr>
          <w:sz w:val="20"/>
        </w:rPr>
      </w:pPr>
      <w:r w:rsidRPr="00BE2DEA">
        <w:rPr>
          <w:sz w:val="20"/>
        </w:rPr>
        <w:t xml:space="preserve">American silverberry fixes nitrogen, some of which is available to plants of other species growing nearby.  In rough fescue grasslands, silverberry at 1,000 stems per acre increases forage production.  It can be grown in orchards to increase yields from fruit trees by up to 10%.  </w:t>
      </w:r>
    </w:p>
    <w:p w:rsidR="00BE2DEA" w:rsidRPr="00BE2DEA" w:rsidRDefault="00BE2DEA" w:rsidP="00BE2DEA">
      <w:pPr>
        <w:jc w:val="left"/>
        <w:rPr>
          <w:sz w:val="20"/>
        </w:rPr>
      </w:pPr>
      <w:r w:rsidRPr="00BE2DEA">
        <w:rPr>
          <w:sz w:val="20"/>
        </w:rPr>
        <w:t xml:space="preserve"> </w:t>
      </w:r>
    </w:p>
    <w:p w:rsidR="00BE2DEA" w:rsidRPr="00BE2DEA" w:rsidRDefault="00BE2DEA" w:rsidP="00BE2DEA">
      <w:pPr>
        <w:jc w:val="left"/>
        <w:rPr>
          <w:sz w:val="20"/>
        </w:rPr>
      </w:pPr>
      <w:r w:rsidRPr="00BE2DEA">
        <w:rPr>
          <w:sz w:val="20"/>
        </w:rPr>
        <w:t xml:space="preserve">American silverberry is an “increaser” species on overgrazed cattle rangelands, and where silverberry was a minor component 20 years ago in rough fescue grasslands of </w:t>
      </w:r>
      <w:smartTag w:uri="urn:schemas-microsoft-com:office:smarttags" w:element="State">
        <w:r w:rsidRPr="00BE2DEA">
          <w:rPr>
            <w:sz w:val="20"/>
          </w:rPr>
          <w:t>Alberta</w:t>
        </w:r>
      </w:smartTag>
      <w:r w:rsidRPr="00BE2DEA">
        <w:rPr>
          <w:sz w:val="20"/>
        </w:rPr>
        <w:t xml:space="preserve"> and </w:t>
      </w:r>
      <w:smartTag w:uri="urn:schemas-microsoft-com:office:smarttags" w:element="State">
        <w:smartTag w:uri="urn:schemas-microsoft-com:office:smarttags" w:element="place">
          <w:r w:rsidRPr="00BE2DEA">
            <w:rPr>
              <w:sz w:val="20"/>
            </w:rPr>
            <w:t>Saskatchewan</w:t>
          </w:r>
        </w:smartTag>
      </w:smartTag>
      <w:r w:rsidRPr="00BE2DEA">
        <w:rPr>
          <w:sz w:val="20"/>
        </w:rPr>
        <w:t xml:space="preserve">, it is now widely distributed.  Frequent sheep browsing or </w:t>
      </w:r>
      <w:r w:rsidRPr="00BE2DEA">
        <w:rPr>
          <w:sz w:val="20"/>
        </w:rPr>
        <w:lastRenderedPageBreak/>
        <w:t xml:space="preserve">mowing, however, reduce silverberry cover.  Many passerine bird species are attracted to mixed-grass prairie with interspersed silverberry cover and reduction of silverberry results in reduced or altered composition of bird communities.   </w:t>
      </w:r>
    </w:p>
    <w:p w:rsidR="00BE2DEA" w:rsidRPr="00BE2DEA" w:rsidRDefault="00BE2DEA" w:rsidP="00BE2DEA">
      <w:pPr>
        <w:ind w:firstLine="720"/>
        <w:jc w:val="left"/>
        <w:rPr>
          <w:sz w:val="20"/>
        </w:rPr>
      </w:pPr>
    </w:p>
    <w:p w:rsidR="00BE2DEA" w:rsidRPr="00BE2DEA" w:rsidRDefault="00BE2DEA" w:rsidP="00BE2DEA">
      <w:pPr>
        <w:jc w:val="left"/>
        <w:rPr>
          <w:sz w:val="20"/>
        </w:rPr>
      </w:pPr>
      <w:r w:rsidRPr="00BE2DEA">
        <w:rPr>
          <w:sz w:val="20"/>
        </w:rPr>
        <w:t xml:space="preserve">In native grasslands, American silverberry is often controlled with herbicides or fire.  It is top-killed by most fires and is probably completely killed by severe fires.  In the Canada Great Plains, American silverberry is described as a species "seriously harmed by spring and fall burns."  Plants sprout from rhizomes after fire, and although numbers of plants may increase after fire, cover usually decreases and recovers slowly.  Presettlement fires probably occurred every 5-10 years in grasslands where American silverberry is a common shrub.  More frequent burning reduces silverberry cover, but patches of shrubs can be maintained by employing partial burns.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Pests and Potential Problems</w:t>
      </w:r>
    </w:p>
    <w:p w:rsidR="00BE2DEA" w:rsidRPr="00BE2DEA" w:rsidRDefault="00BE2DEA" w:rsidP="00BE2DEA">
      <w:pPr>
        <w:jc w:val="left"/>
        <w:rPr>
          <w:sz w:val="20"/>
        </w:rPr>
      </w:pPr>
      <w:r w:rsidRPr="00BE2DEA">
        <w:rPr>
          <w:sz w:val="20"/>
        </w:rPr>
        <w:t xml:space="preserve">American silverberry is heavily rusted in </w:t>
      </w:r>
      <w:smartTag w:uri="urn:schemas-microsoft-com:office:smarttags" w:element="country-region">
        <w:smartTag w:uri="urn:schemas-microsoft-com:office:smarttags" w:element="place">
          <w:r w:rsidRPr="00BE2DEA">
            <w:rPr>
              <w:sz w:val="20"/>
            </w:rPr>
            <w:t>Canada</w:t>
          </w:r>
        </w:smartTag>
      </w:smartTag>
      <w:r w:rsidRPr="00BE2DEA">
        <w:rPr>
          <w:sz w:val="20"/>
        </w:rPr>
        <w:t xml:space="preserve"> and is also a host for pycnia and aecia of </w:t>
      </w:r>
      <w:r w:rsidRPr="00BE2DEA">
        <w:rPr>
          <w:i/>
          <w:sz w:val="20"/>
        </w:rPr>
        <w:t>Puccinia coronata</w:t>
      </w:r>
      <w:r w:rsidRPr="00BE2DEA">
        <w:rPr>
          <w:sz w:val="20"/>
        </w:rPr>
        <w:t xml:space="preserve"> (crown rust) and </w:t>
      </w:r>
      <w:r w:rsidRPr="00BE2DEA">
        <w:rPr>
          <w:i/>
          <w:sz w:val="20"/>
        </w:rPr>
        <w:t>Puccinia caricis-sherpherdiae</w:t>
      </w:r>
      <w:r w:rsidRPr="00BE2DEA">
        <w:rPr>
          <w:sz w:val="20"/>
        </w:rPr>
        <w:t xml:space="preserve">.  An unidentified species of </w:t>
      </w:r>
      <w:r w:rsidRPr="00BE2DEA">
        <w:rPr>
          <w:i/>
          <w:sz w:val="20"/>
        </w:rPr>
        <w:t>Calamagrostis</w:t>
      </w:r>
      <w:r w:rsidRPr="00BE2DEA">
        <w:rPr>
          <w:sz w:val="20"/>
        </w:rPr>
        <w:t xml:space="preserve"> was found to be a uredinial and telial host for </w:t>
      </w:r>
      <w:r w:rsidRPr="00BE2DEA">
        <w:rPr>
          <w:i/>
          <w:sz w:val="20"/>
        </w:rPr>
        <w:t>Puccinia coronata</w:t>
      </w:r>
      <w:r w:rsidRPr="00BE2DEA">
        <w:rPr>
          <w:sz w:val="20"/>
        </w:rPr>
        <w:t xml:space="preserve"> found on </w:t>
      </w:r>
      <w:r w:rsidRPr="00BE2DEA">
        <w:rPr>
          <w:i/>
          <w:sz w:val="20"/>
        </w:rPr>
        <w:t>E. commutata</w:t>
      </w:r>
      <w:r w:rsidRPr="00BE2DEA">
        <w:rPr>
          <w:sz w:val="20"/>
        </w:rPr>
        <w:t xml:space="preserve">.  </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Cultivars, Improved and Selected Materials (and area of origin)</w:t>
      </w:r>
    </w:p>
    <w:p w:rsidR="00BE2DEA" w:rsidRPr="00BE2DEA" w:rsidRDefault="00BE2DEA" w:rsidP="00BE2DEA">
      <w:pPr>
        <w:jc w:val="left"/>
        <w:rPr>
          <w:sz w:val="20"/>
        </w:rPr>
      </w:pPr>
      <w:r w:rsidRPr="00BE2DEA">
        <w:rPr>
          <w:sz w:val="20"/>
        </w:rPr>
        <w:t>These plant materials are readily available from commercial sources.  Contact your local NRCS office for more information.</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References</w:t>
      </w:r>
    </w:p>
    <w:p w:rsidR="00BE2DEA" w:rsidRPr="00BE2DEA" w:rsidRDefault="00BE2DEA" w:rsidP="00BE2DEA">
      <w:pPr>
        <w:jc w:val="left"/>
        <w:rPr>
          <w:sz w:val="20"/>
        </w:rPr>
      </w:pPr>
      <w:r w:rsidRPr="00BE2DEA">
        <w:rPr>
          <w:sz w:val="20"/>
        </w:rPr>
        <w:t xml:space="preserve">Abrams, L. 1951.  </w:t>
      </w:r>
      <w:r w:rsidRPr="00BE2DEA">
        <w:rPr>
          <w:i/>
          <w:sz w:val="20"/>
        </w:rPr>
        <w:t xml:space="preserve">Illustrated flora of the </w:t>
      </w:r>
      <w:smartTag w:uri="urn:schemas-microsoft-com:office:smarttags" w:element="place">
        <w:r w:rsidRPr="00BE2DEA">
          <w:rPr>
            <w:i/>
            <w:sz w:val="20"/>
          </w:rPr>
          <w:t>Pacific Northwest</w:t>
        </w:r>
      </w:smartTag>
      <w:r w:rsidRPr="00BE2DEA">
        <w:rPr>
          <w:i/>
          <w:sz w:val="20"/>
        </w:rPr>
        <w:t>.</w:t>
      </w:r>
      <w:r w:rsidRPr="00BE2DEA">
        <w:rPr>
          <w:sz w:val="20"/>
        </w:rPr>
        <w:t xml:space="preserve">  Vol. III.  </w:t>
      </w:r>
      <w:smartTag w:uri="urn:schemas-microsoft-com:office:smarttags" w:element="PlaceName">
        <w:r w:rsidRPr="00BE2DEA">
          <w:rPr>
            <w:sz w:val="20"/>
          </w:rPr>
          <w:t>Stanford</w:t>
        </w:r>
      </w:smartTag>
      <w:r w:rsidRPr="00BE2DEA">
        <w:rPr>
          <w:sz w:val="20"/>
        </w:rPr>
        <w:t xml:space="preserve"> </w:t>
      </w:r>
      <w:smartTag w:uri="urn:schemas-microsoft-com:office:smarttags" w:element="PlaceType">
        <w:r w:rsidRPr="00BE2DEA">
          <w:rPr>
            <w:sz w:val="20"/>
          </w:rPr>
          <w:t>University</w:t>
        </w:r>
      </w:smartTag>
      <w:r w:rsidRPr="00BE2DEA">
        <w:rPr>
          <w:sz w:val="20"/>
        </w:rPr>
        <w:t xml:space="preserve"> Press, </w:t>
      </w:r>
      <w:smartTag w:uri="urn:schemas-microsoft-com:office:smarttags" w:element="place">
        <w:smartTag w:uri="urn:schemas-microsoft-com:office:smarttags" w:element="City">
          <w:r w:rsidRPr="00BE2DEA">
            <w:rPr>
              <w:sz w:val="20"/>
            </w:rPr>
            <w:t>Palo Alto</w:t>
          </w:r>
        </w:smartTag>
        <w:r w:rsidRPr="00BE2DEA">
          <w:rPr>
            <w:sz w:val="20"/>
          </w:rPr>
          <w:t xml:space="preserve">, </w:t>
        </w:r>
        <w:smartTag w:uri="urn:schemas-microsoft-com:office:smarttags" w:element="State">
          <w:r w:rsidRPr="00BE2DEA">
            <w:rPr>
              <w:sz w:val="20"/>
            </w:rPr>
            <w:t>California</w:t>
          </w:r>
        </w:smartTag>
      </w:smartTag>
      <w:r w:rsidRPr="00BE2DEA">
        <w:rPr>
          <w:sz w:val="20"/>
        </w:rPr>
        <w:t>.</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Bailey, A.W. 1970.  </w:t>
      </w:r>
      <w:r w:rsidRPr="00BE2DEA">
        <w:rPr>
          <w:i/>
          <w:sz w:val="20"/>
        </w:rPr>
        <w:t>Barrier effect of the shrub Elaeagnus commutata on grazing cattle and forage production in central Alberta</w:t>
      </w:r>
      <w:r w:rsidRPr="00BE2DEA">
        <w:rPr>
          <w:sz w:val="20"/>
        </w:rPr>
        <w:t xml:space="preserve">.  J. Range Managemt. 23:248-251.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Esser, L.L. 1994.  </w:t>
      </w:r>
      <w:r w:rsidRPr="00BE2DEA">
        <w:rPr>
          <w:i/>
          <w:sz w:val="20"/>
        </w:rPr>
        <w:t>Elaeagnus commutata</w:t>
      </w:r>
      <w:r w:rsidRPr="00BE2DEA">
        <w:rPr>
          <w:sz w:val="20"/>
        </w:rPr>
        <w:t xml:space="preserve">.  In: W.C. Fischer, compiler.  The Fire Effects Information System [Data base].  </w:t>
      </w:r>
      <w:smartTag w:uri="urn:schemas-microsoft-com:office:smarttags" w:element="country-region">
        <w:r w:rsidRPr="00BE2DEA">
          <w:rPr>
            <w:sz w:val="20"/>
          </w:rPr>
          <w:t>U.S.</w:t>
        </w:r>
      </w:smartTag>
      <w:r w:rsidRPr="00BE2DEA">
        <w:rPr>
          <w:sz w:val="20"/>
        </w:rPr>
        <w:t xml:space="preserve"> Dept. of Agric., Forest Service, Intermountain Research Station, Intermountain Fire Sciences Lab., </w:t>
      </w:r>
      <w:smartTag w:uri="urn:schemas-microsoft-com:office:smarttags" w:element="City">
        <w:r w:rsidRPr="00BE2DEA">
          <w:rPr>
            <w:sz w:val="20"/>
          </w:rPr>
          <w:t>Missoula</w:t>
        </w:r>
      </w:smartTag>
      <w:r w:rsidRPr="00BE2DEA">
        <w:rPr>
          <w:sz w:val="20"/>
        </w:rPr>
        <w:t xml:space="preserve">, </w:t>
      </w:r>
      <w:smartTag w:uri="urn:schemas-microsoft-com:office:smarttags" w:element="State">
        <w:smartTag w:uri="urn:schemas-microsoft-com:office:smarttags" w:element="place">
          <w:r w:rsidRPr="00BE2DEA">
            <w:rPr>
              <w:sz w:val="20"/>
            </w:rPr>
            <w:t>Montana</w:t>
          </w:r>
        </w:smartTag>
      </w:smartTag>
      <w:r w:rsidRPr="00BE2DEA">
        <w:rPr>
          <w:sz w:val="20"/>
        </w:rPr>
        <w:t>.  &lt;http://www.fs.fed.us/database/feis/&gt;</w:t>
      </w:r>
    </w:p>
    <w:p w:rsidR="00BE2DEA" w:rsidRPr="00BE2DEA" w:rsidRDefault="00BE2DEA" w:rsidP="00BE2DEA">
      <w:pPr>
        <w:jc w:val="left"/>
        <w:rPr>
          <w:sz w:val="20"/>
        </w:rPr>
      </w:pPr>
    </w:p>
    <w:p w:rsidR="00BE2DEA" w:rsidRPr="00BE2DEA" w:rsidRDefault="00BE2DEA" w:rsidP="00BE2DEA">
      <w:pPr>
        <w:tabs>
          <w:tab w:val="left" w:pos="720"/>
          <w:tab w:val="left" w:pos="1170"/>
          <w:tab w:val="right" w:leader="dot" w:pos="9360"/>
        </w:tabs>
        <w:suppressAutoHyphens/>
        <w:jc w:val="left"/>
        <w:rPr>
          <w:sz w:val="20"/>
        </w:rPr>
      </w:pPr>
      <w:smartTag w:uri="urn:schemas-microsoft-com:office:smarttags" w:element="place">
        <w:smartTag w:uri="urn:schemas-microsoft-com:office:smarttags" w:element="City">
          <w:r w:rsidRPr="00BE2DEA">
            <w:rPr>
              <w:sz w:val="20"/>
            </w:rPr>
            <w:t>Graham</w:t>
          </w:r>
        </w:smartTag>
        <w:r w:rsidRPr="00BE2DEA">
          <w:rPr>
            <w:sz w:val="20"/>
          </w:rPr>
          <w:t xml:space="preserve">, </w:t>
        </w:r>
        <w:smartTag w:uri="urn:schemas-microsoft-com:office:smarttags" w:element="country-region">
          <w:r w:rsidRPr="00BE2DEA">
            <w:rPr>
              <w:sz w:val="20"/>
            </w:rPr>
            <w:t>S.A.</w:t>
          </w:r>
        </w:smartTag>
      </w:smartTag>
      <w:r w:rsidRPr="00BE2DEA">
        <w:rPr>
          <w:sz w:val="20"/>
        </w:rPr>
        <w:t xml:space="preserve"> 1964.  </w:t>
      </w:r>
      <w:r w:rsidRPr="00BE2DEA">
        <w:rPr>
          <w:i/>
          <w:sz w:val="20"/>
        </w:rPr>
        <w:t xml:space="preserve">The Elaeagnaceae in the southeastern </w:t>
      </w:r>
      <w:smartTag w:uri="urn:schemas-microsoft-com:office:smarttags" w:element="place">
        <w:smartTag w:uri="urn:schemas-microsoft-com:office:smarttags" w:element="country-region">
          <w:r w:rsidRPr="00BE2DEA">
            <w:rPr>
              <w:i/>
              <w:sz w:val="20"/>
            </w:rPr>
            <w:t>United States</w:t>
          </w:r>
        </w:smartTag>
      </w:smartTag>
      <w:r w:rsidRPr="00BE2DEA">
        <w:rPr>
          <w:i/>
          <w:sz w:val="20"/>
        </w:rPr>
        <w:t>.</w:t>
      </w:r>
      <w:r w:rsidRPr="00BE2DEA">
        <w:rPr>
          <w:sz w:val="20"/>
        </w:rPr>
        <w:t xml:space="preserve">  J. Arnold Arb. 45:274-278.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lastRenderedPageBreak/>
        <w:t xml:space="preserve">Scianna, J.D. (Sept.) 1999. </w:t>
      </w:r>
      <w:r w:rsidRPr="00BE2DEA">
        <w:rPr>
          <w:i/>
          <w:sz w:val="20"/>
        </w:rPr>
        <w:t xml:space="preserve">Description, propagation and use of silverberry (Elaeagnus commutata). </w:t>
      </w:r>
      <w:smartTag w:uri="urn:schemas-microsoft-com:office:smarttags" w:element="place">
        <w:smartTag w:uri="urn:schemas-microsoft-com:office:smarttags" w:element="State">
          <w:r w:rsidRPr="00BE2DEA">
            <w:rPr>
              <w:i/>
              <w:sz w:val="20"/>
            </w:rPr>
            <w:t>Montana</w:t>
          </w:r>
        </w:smartTag>
      </w:smartTag>
      <w:r w:rsidRPr="00BE2DEA">
        <w:rPr>
          <w:i/>
          <w:sz w:val="20"/>
        </w:rPr>
        <w:t xml:space="preserve"> Technical Note 33</w:t>
      </w:r>
      <w:r w:rsidRPr="00BE2DEA">
        <w:rPr>
          <w:sz w:val="20"/>
        </w:rPr>
        <w:t xml:space="preserve">.  USDA, </w:t>
      </w:r>
      <w:smartTag w:uri="urn:schemas-microsoft-com:office:smarttags" w:element="PlaceName">
        <w:r w:rsidRPr="00BE2DEA">
          <w:rPr>
            <w:sz w:val="20"/>
          </w:rPr>
          <w:t>NRCS</w:t>
        </w:r>
      </w:smartTag>
      <w:r w:rsidRPr="00BE2DEA">
        <w:rPr>
          <w:sz w:val="20"/>
        </w:rPr>
        <w:t xml:space="preserve"> </w:t>
      </w:r>
      <w:smartTag w:uri="urn:schemas-microsoft-com:office:smarttags" w:element="PlaceName">
        <w:r w:rsidRPr="00BE2DEA">
          <w:rPr>
            <w:sz w:val="20"/>
          </w:rPr>
          <w:t>Bridger</w:t>
        </w:r>
      </w:smartTag>
      <w:r w:rsidRPr="00BE2DEA">
        <w:rPr>
          <w:sz w:val="20"/>
        </w:rPr>
        <w:t xml:space="preserve"> </w:t>
      </w:r>
      <w:smartTag w:uri="urn:schemas-microsoft-com:office:smarttags" w:element="PlaceName">
        <w:r w:rsidRPr="00BE2DEA">
          <w:rPr>
            <w:sz w:val="20"/>
          </w:rPr>
          <w:t>Plant</w:t>
        </w:r>
      </w:smartTag>
      <w:r w:rsidRPr="00BE2DEA">
        <w:rPr>
          <w:sz w:val="20"/>
        </w:rPr>
        <w:t xml:space="preserve"> </w:t>
      </w:r>
      <w:smartTag w:uri="urn:schemas-microsoft-com:office:smarttags" w:element="PlaceName">
        <w:r w:rsidRPr="00BE2DEA">
          <w:rPr>
            <w:sz w:val="20"/>
          </w:rPr>
          <w:t>Materials</w:t>
        </w:r>
      </w:smartTag>
      <w:r w:rsidRPr="00BE2DEA">
        <w:rPr>
          <w:sz w:val="20"/>
        </w:rPr>
        <w:t xml:space="preserve"> </w:t>
      </w:r>
      <w:smartTag w:uri="urn:schemas-microsoft-com:office:smarttags" w:element="PlaceType">
        <w:r w:rsidRPr="00BE2DEA">
          <w:rPr>
            <w:sz w:val="20"/>
          </w:rPr>
          <w:t>Center</w:t>
        </w:r>
      </w:smartTag>
      <w:r w:rsidRPr="00BE2DEA">
        <w:rPr>
          <w:sz w:val="20"/>
        </w:rPr>
        <w:t xml:space="preserve">, </w:t>
      </w:r>
      <w:smartTag w:uri="urn:schemas-microsoft-com:office:smarttags" w:element="place">
        <w:smartTag w:uri="urn:schemas-microsoft-com:office:smarttags" w:element="City">
          <w:r w:rsidRPr="00BE2DEA">
            <w:rPr>
              <w:sz w:val="20"/>
            </w:rPr>
            <w:t>Bridger</w:t>
          </w:r>
        </w:smartTag>
        <w:r w:rsidRPr="00BE2DEA">
          <w:rPr>
            <w:sz w:val="20"/>
          </w:rPr>
          <w:t xml:space="preserve">, </w:t>
        </w:r>
        <w:smartTag w:uri="urn:schemas-microsoft-com:office:smarttags" w:element="State">
          <w:r w:rsidRPr="00BE2DEA">
            <w:rPr>
              <w:sz w:val="20"/>
            </w:rPr>
            <w:t>Montana</w:t>
          </w:r>
        </w:smartTag>
      </w:smartTag>
      <w:r w:rsidRPr="00BE2DEA">
        <w:rPr>
          <w:sz w:val="20"/>
        </w:rPr>
        <w:t>.  5p.</w:t>
      </w:r>
    </w:p>
    <w:p w:rsidR="00BE2DEA" w:rsidRPr="00BE2DEA" w:rsidRDefault="00BE2DEA" w:rsidP="00BE2DEA">
      <w:pPr>
        <w:jc w:val="left"/>
        <w:rPr>
          <w:sz w:val="20"/>
        </w:rPr>
      </w:pPr>
      <w:r w:rsidRPr="00BE2DEA">
        <w:rPr>
          <w:sz w:val="20"/>
        </w:rPr>
        <w:t xml:space="preserve">Soper, J.H. &amp; M.L. Heimburger 1982.  </w:t>
      </w:r>
      <w:r w:rsidRPr="00BE2DEA">
        <w:rPr>
          <w:i/>
          <w:sz w:val="20"/>
        </w:rPr>
        <w:t xml:space="preserve">Shrubs of </w:t>
      </w:r>
      <w:smartTag w:uri="urn:schemas-microsoft-com:office:smarttags" w:element="place">
        <w:smartTag w:uri="urn:schemas-microsoft-com:office:smarttags" w:element="State">
          <w:r w:rsidRPr="00BE2DEA">
            <w:rPr>
              <w:i/>
              <w:sz w:val="20"/>
            </w:rPr>
            <w:t>Ontario</w:t>
          </w:r>
        </w:smartTag>
      </w:smartTag>
      <w:r w:rsidRPr="00BE2DEA">
        <w:rPr>
          <w:sz w:val="20"/>
        </w:rPr>
        <w:t xml:space="preserve">.  Life Sciences Misc. Publ.  </w:t>
      </w:r>
      <w:smartTag w:uri="urn:schemas-microsoft-com:office:smarttags" w:element="PlaceName">
        <w:r w:rsidRPr="00BE2DEA">
          <w:rPr>
            <w:sz w:val="20"/>
          </w:rPr>
          <w:t>Royal</w:t>
        </w:r>
      </w:smartTag>
      <w:r w:rsidRPr="00BE2DEA">
        <w:rPr>
          <w:sz w:val="20"/>
        </w:rPr>
        <w:t xml:space="preserve"> </w:t>
      </w:r>
      <w:smartTag w:uri="urn:schemas-microsoft-com:office:smarttags" w:element="PlaceName">
        <w:r w:rsidRPr="00BE2DEA">
          <w:rPr>
            <w:sz w:val="20"/>
          </w:rPr>
          <w:t>Ontario</w:t>
        </w:r>
      </w:smartTag>
      <w:r w:rsidRPr="00BE2DEA">
        <w:rPr>
          <w:sz w:val="20"/>
        </w:rPr>
        <w:t xml:space="preserve"> </w:t>
      </w:r>
      <w:smartTag w:uri="urn:schemas-microsoft-com:office:smarttags" w:element="PlaceType">
        <w:r w:rsidRPr="00BE2DEA">
          <w:rPr>
            <w:sz w:val="20"/>
          </w:rPr>
          <w:t>Museum</w:t>
        </w:r>
      </w:smartTag>
      <w:r w:rsidRPr="00BE2DEA">
        <w:rPr>
          <w:sz w:val="20"/>
        </w:rPr>
        <w:t xml:space="preserve">, </w:t>
      </w:r>
      <w:smartTag w:uri="urn:schemas-microsoft-com:office:smarttags" w:element="place">
        <w:smartTag w:uri="urn:schemas-microsoft-com:office:smarttags" w:element="City">
          <w:r w:rsidRPr="00BE2DEA">
            <w:rPr>
              <w:sz w:val="20"/>
            </w:rPr>
            <w:t>Toronto</w:t>
          </w:r>
        </w:smartTag>
        <w:r w:rsidRPr="00BE2DEA">
          <w:rPr>
            <w:sz w:val="20"/>
          </w:rPr>
          <w:t xml:space="preserve">, </w:t>
        </w:r>
        <w:smartTag w:uri="urn:schemas-microsoft-com:office:smarttags" w:element="State">
          <w:r w:rsidRPr="00BE2DEA">
            <w:rPr>
              <w:sz w:val="20"/>
            </w:rPr>
            <w:t>Ontario</w:t>
          </w:r>
        </w:smartTag>
        <w:r w:rsidRPr="00BE2DEA">
          <w:rPr>
            <w:sz w:val="20"/>
          </w:rPr>
          <w:t xml:space="preserve">, </w:t>
        </w:r>
        <w:smartTag w:uri="urn:schemas-microsoft-com:office:smarttags" w:element="country-region">
          <w:r w:rsidRPr="00BE2DEA">
            <w:rPr>
              <w:sz w:val="20"/>
            </w:rPr>
            <w:t>Canada</w:t>
          </w:r>
        </w:smartTag>
      </w:smartTag>
      <w:r w:rsidRPr="00BE2DEA">
        <w:rPr>
          <w:sz w:val="20"/>
        </w:rPr>
        <w:t xml:space="preserve">.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Stephens, H.A. 1973.  </w:t>
      </w:r>
      <w:r w:rsidRPr="00BE2DEA">
        <w:rPr>
          <w:i/>
          <w:sz w:val="20"/>
        </w:rPr>
        <w:t>Woody plants of the North Central Plains</w:t>
      </w:r>
      <w:r w:rsidRPr="00BE2DEA">
        <w:rPr>
          <w:sz w:val="20"/>
        </w:rPr>
        <w:t xml:space="preserve">.  The University Press of </w:t>
      </w:r>
      <w:smartTag w:uri="urn:schemas-microsoft-com:office:smarttags" w:element="State">
        <w:r w:rsidRPr="00BE2DEA">
          <w:rPr>
            <w:sz w:val="20"/>
          </w:rPr>
          <w:t>Kansas</w:t>
        </w:r>
      </w:smartTag>
      <w:r w:rsidRPr="00BE2DEA">
        <w:rPr>
          <w:sz w:val="20"/>
        </w:rPr>
        <w:t xml:space="preserve">,  </w:t>
      </w:r>
      <w:smartTag w:uri="urn:schemas-microsoft-com:office:smarttags" w:element="place">
        <w:smartTag w:uri="urn:schemas-microsoft-com:office:smarttags" w:element="City">
          <w:r w:rsidRPr="00BE2DEA">
            <w:rPr>
              <w:sz w:val="20"/>
            </w:rPr>
            <w:t>Lawrence</w:t>
          </w:r>
        </w:smartTag>
        <w:r w:rsidRPr="00BE2DEA">
          <w:rPr>
            <w:sz w:val="20"/>
          </w:rPr>
          <w:t xml:space="preserve">, </w:t>
        </w:r>
        <w:smartTag w:uri="urn:schemas-microsoft-com:office:smarttags" w:element="State">
          <w:r w:rsidRPr="00BE2DEA">
            <w:rPr>
              <w:sz w:val="20"/>
            </w:rPr>
            <w:t>Kansas</w:t>
          </w:r>
        </w:smartTag>
      </w:smartTag>
      <w:r w:rsidRPr="00BE2DEA">
        <w:rPr>
          <w:sz w:val="20"/>
        </w:rPr>
        <w:t>.</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Vories, K.C. 1981.  </w:t>
      </w:r>
      <w:r w:rsidRPr="00BE2DEA">
        <w:rPr>
          <w:i/>
          <w:sz w:val="20"/>
        </w:rPr>
        <w:t xml:space="preserve">Growing </w:t>
      </w:r>
      <w:smartTag w:uri="urn:schemas-microsoft-com:office:smarttags" w:element="State">
        <w:smartTag w:uri="urn:schemas-microsoft-com:office:smarttags" w:element="place">
          <w:r w:rsidRPr="00BE2DEA">
            <w:rPr>
              <w:i/>
              <w:sz w:val="20"/>
            </w:rPr>
            <w:t>Colorado</w:t>
          </w:r>
        </w:smartTag>
      </w:smartTag>
      <w:r w:rsidRPr="00BE2DEA">
        <w:rPr>
          <w:i/>
          <w:sz w:val="20"/>
        </w:rPr>
        <w:t xml:space="preserve"> plants from seed: a state of the art</w:t>
      </w:r>
      <w:r w:rsidRPr="00BE2DEA">
        <w:rPr>
          <w:sz w:val="20"/>
        </w:rPr>
        <w:t xml:space="preserve">.  Vol. I.  Shrubs.  Gen. Tech. Rep. INT-103. </w:t>
      </w:r>
      <w:smartTag w:uri="urn:schemas-microsoft-com:office:smarttags" w:element="country-region">
        <w:smartTag w:uri="urn:schemas-microsoft-com:office:smarttags" w:element="place">
          <w:r w:rsidRPr="00BE2DEA">
            <w:rPr>
              <w:sz w:val="20"/>
            </w:rPr>
            <w:t>U.S.</w:t>
          </w:r>
        </w:smartTag>
      </w:smartTag>
      <w:r w:rsidRPr="00BE2DEA">
        <w:rPr>
          <w:sz w:val="20"/>
        </w:rPr>
        <w:t xml:space="preserve">  Department of Agriculture, Forest Service, </w:t>
      </w:r>
      <w:smartTag w:uri="urn:schemas-microsoft-com:office:smarttags" w:element="PlaceType">
        <w:r w:rsidRPr="00BE2DEA">
          <w:rPr>
            <w:sz w:val="20"/>
          </w:rPr>
          <w:t>Intermountain</w:t>
        </w:r>
      </w:smartTag>
      <w:r w:rsidRPr="00BE2DEA">
        <w:rPr>
          <w:sz w:val="20"/>
        </w:rPr>
        <w:t xml:space="preserve"> </w:t>
      </w:r>
      <w:smartTag w:uri="urn:schemas-microsoft-com:office:smarttags" w:element="PlaceType">
        <w:r w:rsidRPr="00BE2DEA">
          <w:rPr>
            <w:sz w:val="20"/>
          </w:rPr>
          <w:t>Forest</w:t>
        </w:r>
      </w:smartTag>
      <w:r w:rsidRPr="00BE2DEA">
        <w:rPr>
          <w:sz w:val="20"/>
        </w:rPr>
        <w:t xml:space="preserve"> and Range Experiment Station, </w:t>
      </w:r>
      <w:smartTag w:uri="urn:schemas-microsoft-com:office:smarttags" w:element="place">
        <w:smartTag w:uri="urn:schemas-microsoft-com:office:smarttags" w:element="City">
          <w:r w:rsidRPr="00BE2DEA">
            <w:rPr>
              <w:sz w:val="20"/>
            </w:rPr>
            <w:t>Ogden</w:t>
          </w:r>
        </w:smartTag>
        <w:r w:rsidRPr="00BE2DEA">
          <w:rPr>
            <w:sz w:val="20"/>
          </w:rPr>
          <w:t xml:space="preserve">, </w:t>
        </w:r>
        <w:smartTag w:uri="urn:schemas-microsoft-com:office:smarttags" w:element="State">
          <w:r w:rsidRPr="00BE2DEA">
            <w:rPr>
              <w:sz w:val="20"/>
            </w:rPr>
            <w:t>Utah</w:t>
          </w:r>
        </w:smartTag>
      </w:smartTag>
      <w:r w:rsidRPr="00BE2DEA">
        <w:rPr>
          <w:sz w:val="20"/>
        </w:rPr>
        <w:t xml:space="preserve">.   </w:t>
      </w:r>
    </w:p>
    <w:p w:rsidR="00BE2DEA" w:rsidRPr="00BE2DEA" w:rsidRDefault="00BE2DEA" w:rsidP="00BE2DEA">
      <w:pPr>
        <w:jc w:val="left"/>
        <w:rPr>
          <w:sz w:val="20"/>
        </w:rPr>
      </w:pPr>
    </w:p>
    <w:p w:rsidR="00BE2DEA" w:rsidRPr="00BE2DEA" w:rsidRDefault="00BE2DEA" w:rsidP="00BE2DEA">
      <w:pPr>
        <w:jc w:val="left"/>
        <w:rPr>
          <w:sz w:val="20"/>
        </w:rPr>
      </w:pPr>
      <w:r w:rsidRPr="00BE2DEA">
        <w:rPr>
          <w:sz w:val="20"/>
        </w:rPr>
        <w:t xml:space="preserve">Watson, L.E., R.W. Parker, &amp; D.F. Polster 1980.  </w:t>
      </w:r>
      <w:r w:rsidRPr="00BE2DEA">
        <w:rPr>
          <w:i/>
          <w:sz w:val="20"/>
        </w:rPr>
        <w:t>Manual of plant species suitablity for reclamation in Alberta</w:t>
      </w:r>
      <w:r w:rsidRPr="00BE2DEA">
        <w:rPr>
          <w:sz w:val="20"/>
        </w:rPr>
        <w:t xml:space="preserve">. Vol. 2.  </w:t>
      </w:r>
      <w:r w:rsidRPr="00BE2DEA">
        <w:rPr>
          <w:i/>
          <w:sz w:val="20"/>
        </w:rPr>
        <w:t>Forbs, shrubs and trees</w:t>
      </w:r>
      <w:r w:rsidRPr="00BE2DEA">
        <w:rPr>
          <w:sz w:val="20"/>
        </w:rPr>
        <w:t xml:space="preserve">.  Land Conservation and Reclamation Council.  </w:t>
      </w:r>
      <w:smartTag w:uri="urn:schemas-microsoft-com:office:smarttags" w:element="place">
        <w:smartTag w:uri="urn:schemas-microsoft-com:office:smarttags" w:element="City">
          <w:r w:rsidRPr="00BE2DEA">
            <w:rPr>
              <w:sz w:val="20"/>
            </w:rPr>
            <w:t>Edmonton</w:t>
          </w:r>
        </w:smartTag>
        <w:r w:rsidRPr="00BE2DEA">
          <w:rPr>
            <w:sz w:val="20"/>
          </w:rPr>
          <w:t xml:space="preserve">, </w:t>
        </w:r>
        <w:smartTag w:uri="urn:schemas-microsoft-com:office:smarttags" w:element="State">
          <w:r w:rsidRPr="00BE2DEA">
            <w:rPr>
              <w:sz w:val="20"/>
            </w:rPr>
            <w:t>Alberta</w:t>
          </w:r>
        </w:smartTag>
        <w:r w:rsidRPr="00BE2DEA">
          <w:rPr>
            <w:sz w:val="20"/>
          </w:rPr>
          <w:t xml:space="preserve">, </w:t>
        </w:r>
        <w:smartTag w:uri="urn:schemas-microsoft-com:office:smarttags" w:element="country-region">
          <w:r w:rsidRPr="00BE2DEA">
            <w:rPr>
              <w:sz w:val="20"/>
            </w:rPr>
            <w:t>Canada</w:t>
          </w:r>
        </w:smartTag>
      </w:smartTag>
      <w:r w:rsidRPr="00BE2DEA">
        <w:rPr>
          <w:sz w:val="20"/>
        </w:rPr>
        <w:t xml:space="preserve">. </w:t>
      </w:r>
    </w:p>
    <w:p w:rsidR="00BE2DEA" w:rsidRPr="00BE2DEA" w:rsidRDefault="00BE2DEA" w:rsidP="00BE2DEA">
      <w:pPr>
        <w:jc w:val="left"/>
        <w:rPr>
          <w:sz w:val="20"/>
        </w:rPr>
      </w:pPr>
      <w:r w:rsidRPr="00BE2DEA">
        <w:rPr>
          <w:sz w:val="20"/>
        </w:rPr>
        <w:t xml:space="preserve"> </w:t>
      </w:r>
    </w:p>
    <w:p w:rsidR="00BE2DEA" w:rsidRPr="00BE2DEA" w:rsidRDefault="00BE2DEA" w:rsidP="00BE2DEA">
      <w:pPr>
        <w:pStyle w:val="Heading2"/>
        <w:jc w:val="left"/>
        <w:rPr>
          <w:sz w:val="20"/>
        </w:rPr>
      </w:pPr>
      <w:r w:rsidRPr="00BE2DEA">
        <w:rPr>
          <w:sz w:val="20"/>
        </w:rPr>
        <w:t>Prepared By</w:t>
      </w:r>
    </w:p>
    <w:p w:rsidR="00BE2DEA" w:rsidRPr="00BE2DEA" w:rsidRDefault="00BE2DEA" w:rsidP="00BE2DEA">
      <w:pPr>
        <w:jc w:val="left"/>
        <w:rPr>
          <w:sz w:val="20"/>
        </w:rPr>
      </w:pPr>
      <w:r w:rsidRPr="00BE2DEA">
        <w:rPr>
          <w:i/>
          <w:sz w:val="20"/>
        </w:rPr>
        <w:t>Guy Nesom</w:t>
      </w:r>
    </w:p>
    <w:p w:rsidR="00BE2DEA" w:rsidRPr="00BE2DEA" w:rsidRDefault="00BE2DEA" w:rsidP="00BE2DEA">
      <w:pPr>
        <w:jc w:val="left"/>
        <w:rPr>
          <w:sz w:val="20"/>
        </w:rPr>
      </w:pPr>
      <w:r w:rsidRPr="00BE2DEA">
        <w:rPr>
          <w:sz w:val="20"/>
        </w:rPr>
        <w:t>BONAP, North Carolina Botanical Garden, University of North Carolina, Chapel Hill, North Carolina</w:t>
      </w:r>
    </w:p>
    <w:p w:rsidR="00BE2DEA" w:rsidRPr="00BE2DEA" w:rsidRDefault="00BE2DEA" w:rsidP="00BE2DEA">
      <w:pPr>
        <w:jc w:val="left"/>
        <w:rPr>
          <w:sz w:val="20"/>
        </w:rPr>
      </w:pPr>
    </w:p>
    <w:p w:rsidR="00BE2DEA" w:rsidRPr="00BE2DEA" w:rsidRDefault="00BE2DEA" w:rsidP="00BE2DEA">
      <w:pPr>
        <w:pStyle w:val="Heading2"/>
        <w:jc w:val="left"/>
        <w:rPr>
          <w:sz w:val="20"/>
        </w:rPr>
      </w:pPr>
      <w:r w:rsidRPr="00BE2DEA">
        <w:rPr>
          <w:sz w:val="20"/>
        </w:rPr>
        <w:t>Species Coordinator</w:t>
      </w:r>
    </w:p>
    <w:p w:rsidR="00BE2DEA" w:rsidRPr="00C7519E" w:rsidRDefault="00BE2DEA" w:rsidP="00C7519E">
      <w:pPr>
        <w:pStyle w:val="Heading3"/>
        <w:ind w:left="0" w:right="0"/>
        <w:jc w:val="left"/>
        <w:rPr>
          <w:b w:val="0"/>
          <w:i/>
          <w:color w:val="auto"/>
        </w:rPr>
      </w:pPr>
      <w:r w:rsidRPr="00C7519E">
        <w:rPr>
          <w:b w:val="0"/>
          <w:i/>
          <w:color w:val="auto"/>
        </w:rPr>
        <w:t>Larry Holzworth</w:t>
      </w:r>
    </w:p>
    <w:p w:rsidR="00BE2DEA" w:rsidRPr="00BE2DEA" w:rsidRDefault="00BE2DEA" w:rsidP="00BE2DEA">
      <w:pPr>
        <w:jc w:val="left"/>
        <w:rPr>
          <w:sz w:val="20"/>
        </w:rPr>
      </w:pPr>
      <w:r w:rsidRPr="00BE2DEA">
        <w:rPr>
          <w:sz w:val="20"/>
        </w:rPr>
        <w:t xml:space="preserve">USDA, NRCS, </w:t>
      </w:r>
      <w:smartTag w:uri="urn:schemas-microsoft-com:office:smarttags" w:element="PlaceName">
        <w:r w:rsidRPr="00BE2DEA">
          <w:rPr>
            <w:sz w:val="20"/>
          </w:rPr>
          <w:t>Montana</w:t>
        </w:r>
      </w:smartTag>
      <w:r w:rsidRPr="00BE2DEA">
        <w:rPr>
          <w:sz w:val="20"/>
        </w:rPr>
        <w:t xml:space="preserve"> </w:t>
      </w:r>
      <w:smartTag w:uri="urn:schemas-microsoft-com:office:smarttags" w:element="PlaceType">
        <w:r w:rsidRPr="00BE2DEA">
          <w:rPr>
            <w:sz w:val="20"/>
          </w:rPr>
          <w:t>State</w:t>
        </w:r>
      </w:smartTag>
      <w:r w:rsidRPr="00BE2DEA">
        <w:rPr>
          <w:sz w:val="20"/>
        </w:rPr>
        <w:t xml:space="preserve"> Office, </w:t>
      </w:r>
      <w:smartTag w:uri="urn:schemas-microsoft-com:office:smarttags" w:element="place">
        <w:smartTag w:uri="urn:schemas-microsoft-com:office:smarttags" w:element="City">
          <w:r w:rsidRPr="00BE2DEA">
            <w:rPr>
              <w:sz w:val="20"/>
            </w:rPr>
            <w:t>Bozeman</w:t>
          </w:r>
        </w:smartTag>
        <w:r w:rsidRPr="00BE2DEA">
          <w:rPr>
            <w:sz w:val="20"/>
          </w:rPr>
          <w:t xml:space="preserve">, </w:t>
        </w:r>
        <w:smartTag w:uri="urn:schemas-microsoft-com:office:smarttags" w:element="State">
          <w:r w:rsidRPr="00BE2DEA">
            <w:rPr>
              <w:sz w:val="20"/>
            </w:rPr>
            <w:t>Montana</w:t>
          </w:r>
        </w:smartTag>
      </w:smartTag>
    </w:p>
    <w:p w:rsidR="00BE2DEA" w:rsidRPr="00BE2DEA" w:rsidRDefault="00BE2DEA" w:rsidP="00BE2DEA">
      <w:pPr>
        <w:jc w:val="left"/>
        <w:rPr>
          <w:sz w:val="20"/>
        </w:rPr>
      </w:pPr>
    </w:p>
    <w:p w:rsidR="00BE2DEA" w:rsidRPr="00C7519E" w:rsidRDefault="00BE2DEA" w:rsidP="00BE2DEA">
      <w:pPr>
        <w:jc w:val="left"/>
        <w:rPr>
          <w:sz w:val="16"/>
          <w:szCs w:val="16"/>
        </w:rPr>
      </w:pPr>
      <w:r w:rsidRPr="00C7519E">
        <w:rPr>
          <w:sz w:val="16"/>
          <w:szCs w:val="16"/>
        </w:rPr>
        <w:t>Edited 19sep00 jsp;10feb03 ahv; 10aug03jsp</w:t>
      </w:r>
      <w:r w:rsidR="00C7519E">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202" w:rsidRDefault="00D37202">
      <w:r>
        <w:separator/>
      </w:r>
    </w:p>
  </w:endnote>
  <w:endnote w:type="continuationSeparator" w:id="0">
    <w:p w:rsidR="00D37202" w:rsidRDefault="00D372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202" w:rsidRDefault="00D37202">
      <w:r>
        <w:separator/>
      </w:r>
    </w:p>
  </w:footnote>
  <w:footnote w:type="continuationSeparator" w:id="0">
    <w:p w:rsidR="00D37202" w:rsidRDefault="00D372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A488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13206"/>
    <w:rsid w:val="0036701D"/>
    <w:rsid w:val="003749B3"/>
    <w:rsid w:val="00377934"/>
    <w:rsid w:val="00395D33"/>
    <w:rsid w:val="003A4887"/>
    <w:rsid w:val="003A6A53"/>
    <w:rsid w:val="004032F8"/>
    <w:rsid w:val="004052E3"/>
    <w:rsid w:val="00416D52"/>
    <w:rsid w:val="00433FB4"/>
    <w:rsid w:val="004340C9"/>
    <w:rsid w:val="004364E5"/>
    <w:rsid w:val="00437F11"/>
    <w:rsid w:val="004500D1"/>
    <w:rsid w:val="0048212B"/>
    <w:rsid w:val="00485D14"/>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C24FE"/>
    <w:rsid w:val="00BD616F"/>
    <w:rsid w:val="00BE2DEA"/>
    <w:rsid w:val="00BE5356"/>
    <w:rsid w:val="00BF44A8"/>
    <w:rsid w:val="00C71B7B"/>
    <w:rsid w:val="00C7519E"/>
    <w:rsid w:val="00C81773"/>
    <w:rsid w:val="00CD49CC"/>
    <w:rsid w:val="00CD55F3"/>
    <w:rsid w:val="00CF06F8"/>
    <w:rsid w:val="00CF7EC1"/>
    <w:rsid w:val="00D37202"/>
    <w:rsid w:val="00D62818"/>
    <w:rsid w:val="00DD41E3"/>
    <w:rsid w:val="00DF6843"/>
    <w:rsid w:val="00E2020F"/>
    <w:rsid w:val="00E54F64"/>
    <w:rsid w:val="00E93233"/>
    <w:rsid w:val="00EC0C6B"/>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AMERICAN SILVERBERRY</vt:lpstr>
    </vt:vector>
  </TitlesOfParts>
  <Company>USDA NRCS National Plant Data Center</Company>
  <LinksUpToDate>false</LinksUpToDate>
  <CharactersWithSpaces>9831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SILVERBERRY</dc:title>
  <dc:subject>Elaeagnus commutata Bernh. ex Rydb.</dc:subject>
  <dc:creator>William Farrell</dc:creator>
  <cp:keywords/>
  <cp:lastModifiedBy>William Farrell</cp:lastModifiedBy>
  <cp:revision>2</cp:revision>
  <cp:lastPrinted>2003-06-09T21:39:00Z</cp:lastPrinted>
  <dcterms:created xsi:type="dcterms:W3CDTF">2011-01-25T23:24:00Z</dcterms:created>
  <dcterms:modified xsi:type="dcterms:W3CDTF">2011-01-25T23:24:00Z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