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0"/>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BA0EDC" w:rsidP="00E9203C">
      <w:pPr>
        <w:pStyle w:val="Heading1"/>
      </w:pPr>
      <w:r>
        <w:lastRenderedPageBreak/>
        <w:t>thickleaf penstemon</w:t>
      </w:r>
    </w:p>
    <w:p w:rsidR="00CE7C18" w:rsidRDefault="00BA0EDC" w:rsidP="00CE7C18">
      <w:pPr>
        <w:pStyle w:val="Heading2"/>
      </w:pPr>
      <w:r>
        <w:t xml:space="preserve">Penstemon pachyphyllus </w:t>
      </w:r>
      <w:r w:rsidR="005B7111" w:rsidRPr="009C6C40">
        <w:rPr>
          <w:i w:val="0"/>
        </w:rPr>
        <w:t xml:space="preserve">A. </w:t>
      </w:r>
      <w:r w:rsidRPr="009C6C40">
        <w:rPr>
          <w:i w:val="0"/>
        </w:rPr>
        <w:t>Gray</w:t>
      </w:r>
      <w:r w:rsidRPr="00BA0EDC">
        <w:rPr>
          <w:i w:val="0"/>
        </w:rPr>
        <w:t xml:space="preserve"> ex Rydb.</w:t>
      </w:r>
    </w:p>
    <w:p w:rsidR="00614036" w:rsidRPr="00A90532" w:rsidRDefault="00614036" w:rsidP="006A29CA">
      <w:pPr>
        <w:pStyle w:val="PlantSymbol"/>
      </w:pPr>
      <w:r w:rsidRPr="00A90532">
        <w:t xml:space="preserve">Plant Symbol = </w:t>
      </w:r>
      <w:r w:rsidR="00BA0EDC">
        <w:t>PEPA6</w:t>
      </w:r>
    </w:p>
    <w:p w:rsidR="003759E1" w:rsidRDefault="001478F1" w:rsidP="00302C9A">
      <w:pPr>
        <w:pStyle w:val="BodytextNRCS"/>
        <w:spacing w:before="240"/>
      </w:pPr>
      <w:r w:rsidRPr="00354A89">
        <w:rPr>
          <w:i/>
        </w:rPr>
        <w:t>Contributed by</w:t>
      </w:r>
      <w:r w:rsidRPr="008517EF">
        <w:t>:</w:t>
      </w:r>
      <w:r w:rsidR="007B51E8">
        <w:t xml:space="preserve">  USDA NRCS </w:t>
      </w:r>
      <w:r w:rsidR="00E717E5">
        <w:t>Idaho State Office and National Plant Data Center</w:t>
      </w:r>
    </w:p>
    <w:p w:rsidR="004E2E49" w:rsidRDefault="00E6388A" w:rsidP="004E2E49">
      <w:pPr>
        <w:pStyle w:val="BodytextNRCS"/>
        <w:keepNext/>
        <w:spacing w:before="240"/>
      </w:pPr>
      <w:r>
        <w:rPr>
          <w:rFonts w:ascii="Trebuchet MS" w:hAnsi="Trebuchet MS"/>
          <w:noProof/>
          <w:color w:val="262C08"/>
        </w:rPr>
        <w:drawing>
          <wp:inline distT="0" distB="0" distL="0" distR="0" wp14:anchorId="1A34DAE4" wp14:editId="78BE2D86">
            <wp:extent cx="2922134" cy="3899424"/>
            <wp:effectExtent l="0" t="0" r="0" b="6350"/>
            <wp:docPr id="1" name="Picture 1" descr="Penstemon pachyphyllus (Thickleaf beardtongue) is a perennial wildflower with attractive, blue to violet flowers that grows 30-64 cm tall." title="color photograph of thickleaf penstemon by W.D. Branford, Ladybird Johnson Wildflower Cen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nstemon pachyphyllus (Thickleaf beardtongue)">
                      <a:hlinkClick r:id="rId11"/>
                    </pic:cNvPr>
                    <pic:cNvPicPr>
                      <a:picLocks noChangeAspect="1" noChangeArrowheads="1"/>
                    </pic:cNvPicPr>
                  </pic:nvPicPr>
                  <pic:blipFill>
                    <a:blip r:embed="rId12">
                      <a:extLst>
                        <a:ext uri="{BEBA8EAE-BF5A-486C-A8C5-ECC9F3942E4B}">
                          <a14:imgProps xmlns:a14="http://schemas.microsoft.com/office/drawing/2010/main">
                            <a14:imgLayer r:embed="rId13">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922134" cy="3899424"/>
                    </a:xfrm>
                    <a:prstGeom prst="rect">
                      <a:avLst/>
                    </a:prstGeom>
                    <a:noFill/>
                    <a:ln>
                      <a:noFill/>
                    </a:ln>
                  </pic:spPr>
                </pic:pic>
              </a:graphicData>
            </a:graphic>
          </wp:inline>
        </w:drawing>
      </w:r>
    </w:p>
    <w:p w:rsidR="004E2E49" w:rsidRPr="00910DF4" w:rsidRDefault="004E2E49" w:rsidP="004E2E49">
      <w:pPr>
        <w:pStyle w:val="Caption"/>
        <w:jc w:val="left"/>
        <w:rPr>
          <w:color w:val="auto"/>
          <w:sz w:val="16"/>
          <w:szCs w:val="16"/>
        </w:rPr>
      </w:pPr>
      <w:r w:rsidRPr="00910DF4">
        <w:rPr>
          <w:color w:val="auto"/>
          <w:sz w:val="16"/>
          <w:szCs w:val="16"/>
        </w:rPr>
        <w:t>Thickleaf penstemon. W.D. Bransford, Ladybird Joh</w:t>
      </w:r>
      <w:r w:rsidR="00910DF4">
        <w:rPr>
          <w:color w:val="auto"/>
          <w:sz w:val="16"/>
          <w:szCs w:val="16"/>
        </w:rPr>
        <w:t>n</w:t>
      </w:r>
      <w:r w:rsidRPr="00910DF4">
        <w:rPr>
          <w:color w:val="auto"/>
          <w:sz w:val="16"/>
          <w:szCs w:val="16"/>
        </w:rPr>
        <w:t>son Wildflower Center.</w:t>
      </w:r>
    </w:p>
    <w:p w:rsidR="00712AC4" w:rsidRDefault="000F1970" w:rsidP="007866F3">
      <w:pPr>
        <w:pStyle w:val="Heading3"/>
      </w:pPr>
      <w:r w:rsidRPr="00A90532">
        <w:t>Alternate Names</w:t>
      </w:r>
    </w:p>
    <w:p w:rsidR="0063641D" w:rsidRPr="0098400B" w:rsidRDefault="0063641D" w:rsidP="0063641D">
      <w:pPr>
        <w:pStyle w:val="NRCSBodyText"/>
      </w:pPr>
      <w:r>
        <w:rPr>
          <w:i/>
        </w:rPr>
        <w:t xml:space="preserve">Common Alternate Names:  </w:t>
      </w:r>
      <w:r w:rsidR="000633EC" w:rsidRPr="0098400B">
        <w:t>thickleaf beardtongue, elephant ear penstemon</w:t>
      </w:r>
    </w:p>
    <w:p w:rsidR="0063641D" w:rsidRPr="000968E2" w:rsidRDefault="0063641D" w:rsidP="0063641D">
      <w:pPr>
        <w:pStyle w:val="NRCSBodyText"/>
        <w:rPr>
          <w:i/>
        </w:rPr>
      </w:pPr>
      <w:r>
        <w:rPr>
          <w:i/>
        </w:rPr>
        <w:t xml:space="preserve">Scientific Alternate Names:  </w:t>
      </w:r>
      <w:r w:rsidR="0098400B">
        <w:rPr>
          <w:i/>
        </w:rPr>
        <w:t xml:space="preserve">Penstemon pachyphyllus </w:t>
      </w:r>
      <w:r w:rsidR="0098400B" w:rsidRPr="0098400B">
        <w:t>var.</w:t>
      </w:r>
      <w:r w:rsidR="0098400B">
        <w:rPr>
          <w:i/>
        </w:rPr>
        <w:t xml:space="preserve"> </w:t>
      </w:r>
      <w:r w:rsidR="000E4CDF">
        <w:rPr>
          <w:i/>
        </w:rPr>
        <w:t>pachyphyllus</w:t>
      </w:r>
      <w:r w:rsidR="0098400B">
        <w:rPr>
          <w:i/>
        </w:rPr>
        <w:t xml:space="preserve">, Penstemon </w:t>
      </w:r>
      <w:r w:rsidR="000E4CDF">
        <w:rPr>
          <w:i/>
        </w:rPr>
        <w:t>pachyphyllus</w:t>
      </w:r>
      <w:r w:rsidR="0098400B">
        <w:rPr>
          <w:i/>
        </w:rPr>
        <w:t xml:space="preserve"> </w:t>
      </w:r>
      <w:r w:rsidR="0098400B" w:rsidRPr="0098400B">
        <w:t>var.</w:t>
      </w:r>
      <w:r w:rsidR="0098400B">
        <w:rPr>
          <w:i/>
        </w:rPr>
        <w:t xml:space="preserve"> congestus</w:t>
      </w:r>
    </w:p>
    <w:p w:rsidR="00CD49CC" w:rsidRDefault="00CD49CC" w:rsidP="007866F3">
      <w:pPr>
        <w:pStyle w:val="Heading3"/>
      </w:pPr>
      <w:r w:rsidRPr="00A90532">
        <w:t>Uses</w:t>
      </w:r>
    </w:p>
    <w:p w:rsidR="003D0BA9" w:rsidRDefault="0098400B" w:rsidP="003D0BA9">
      <w:pPr>
        <w:pStyle w:val="NRCSBodyText"/>
      </w:pPr>
      <w:bookmarkStart w:id="0" w:name="OLE_LINK1"/>
      <w:r>
        <w:rPr>
          <w:i/>
        </w:rPr>
        <w:t xml:space="preserve">Grazing/rangeland: </w:t>
      </w:r>
      <w:r w:rsidRPr="0098400B">
        <w:t>Thickleaf penstemon is eaten by wildlife and livestock (Monsen et. al., 2004).</w:t>
      </w:r>
      <w:r>
        <w:t xml:space="preserve">  There is no published information on palatability and </w:t>
      </w:r>
      <w:r w:rsidR="009209B4">
        <w:t xml:space="preserve">it </w:t>
      </w:r>
      <w:r>
        <w:t xml:space="preserve">is considered of incidental value </w:t>
      </w:r>
      <w:r w:rsidR="006241DA">
        <w:t>as</w:t>
      </w:r>
      <w:r>
        <w:t xml:space="preserve"> forage.  It does provide diversity in the plant communities where it is found.</w:t>
      </w:r>
    </w:p>
    <w:p w:rsidR="0098400B" w:rsidRDefault="0098400B" w:rsidP="003D0BA9">
      <w:pPr>
        <w:pStyle w:val="NRCSBodyText"/>
      </w:pPr>
    </w:p>
    <w:p w:rsidR="0098400B" w:rsidRDefault="006F59DA" w:rsidP="003D0BA9">
      <w:pPr>
        <w:pStyle w:val="NRCSBodyText"/>
      </w:pPr>
      <w:r w:rsidRPr="006F59DA">
        <w:rPr>
          <w:i/>
        </w:rPr>
        <w:t>Erosion control/reclamation:</w:t>
      </w:r>
      <w:r>
        <w:t xml:space="preserve"> Thickleaf penstemon provides excellent soil protection </w:t>
      </w:r>
      <w:r w:rsidRPr="0098400B">
        <w:t>(Monsen et. al., 2004)</w:t>
      </w:r>
      <w:r>
        <w:t>.</w:t>
      </w:r>
    </w:p>
    <w:p w:rsidR="006F59DA" w:rsidRDefault="006F59DA" w:rsidP="003D0BA9">
      <w:pPr>
        <w:pStyle w:val="NRCSBodyText"/>
      </w:pPr>
    </w:p>
    <w:p w:rsidR="006F59DA" w:rsidRDefault="006F59DA" w:rsidP="003D0BA9">
      <w:pPr>
        <w:pStyle w:val="NRCSBodyText"/>
      </w:pPr>
      <w:r w:rsidRPr="006F59DA">
        <w:rPr>
          <w:i/>
        </w:rPr>
        <w:t xml:space="preserve">Pollinators: </w:t>
      </w:r>
      <w:r w:rsidR="00966530">
        <w:t>The large, purple colored flowers of thickleaf penstemon generally attract large bumblebees (</w:t>
      </w:r>
      <w:r w:rsidR="00966530" w:rsidRPr="00AA1678">
        <w:rPr>
          <w:i/>
        </w:rPr>
        <w:t>Bombus</w:t>
      </w:r>
      <w:r w:rsidR="00966530">
        <w:t xml:space="preserve"> sp.) (Kramer et. al., 2011).</w:t>
      </w:r>
    </w:p>
    <w:p w:rsidR="00A94BCC" w:rsidRDefault="00A94BCC" w:rsidP="00A94BCC">
      <w:pPr>
        <w:pStyle w:val="NRCSBodyText"/>
        <w:spacing w:before="240"/>
        <w:rPr>
          <w:b/>
        </w:rPr>
      </w:pPr>
      <w:r w:rsidRPr="000C2C03">
        <w:rPr>
          <w:b/>
        </w:rPr>
        <w:t>Ethnobotany</w:t>
      </w:r>
    </w:p>
    <w:p w:rsidR="00A94BCC" w:rsidRPr="000C2C03" w:rsidRDefault="00782351" w:rsidP="00A94BCC">
      <w:pPr>
        <w:pStyle w:val="NormalWeb"/>
        <w:spacing w:before="0" w:beforeAutospacing="0" w:after="0" w:afterAutospacing="0"/>
        <w:rPr>
          <w:rFonts w:ascii="Times New Roman" w:hAnsi="Times New Roman"/>
          <w:color w:val="auto"/>
          <w:sz w:val="20"/>
          <w:szCs w:val="20"/>
        </w:rPr>
      </w:pPr>
      <w:r>
        <w:rPr>
          <w:rFonts w:ascii="Times New Roman" w:hAnsi="Times New Roman"/>
          <w:color w:val="auto"/>
          <w:sz w:val="20"/>
          <w:szCs w:val="20"/>
        </w:rPr>
        <w:t xml:space="preserve">The Havasupai Tribe of north central Arizona folded leaves of thickleaf penstemon lengthwise and placed </w:t>
      </w:r>
      <w:r w:rsidR="006241DA">
        <w:rPr>
          <w:rFonts w:ascii="Times New Roman" w:hAnsi="Times New Roman"/>
          <w:color w:val="auto"/>
          <w:sz w:val="20"/>
          <w:szCs w:val="20"/>
        </w:rPr>
        <w:t xml:space="preserve">them </w:t>
      </w:r>
      <w:r>
        <w:rPr>
          <w:rFonts w:ascii="Times New Roman" w:hAnsi="Times New Roman"/>
          <w:color w:val="auto"/>
          <w:sz w:val="20"/>
          <w:szCs w:val="20"/>
        </w:rPr>
        <w:t xml:space="preserve">in </w:t>
      </w:r>
      <w:r w:rsidR="006241DA">
        <w:rPr>
          <w:rFonts w:ascii="Times New Roman" w:hAnsi="Times New Roman"/>
          <w:color w:val="auto"/>
          <w:sz w:val="20"/>
          <w:szCs w:val="20"/>
        </w:rPr>
        <w:t xml:space="preserve">their </w:t>
      </w:r>
      <w:r>
        <w:rPr>
          <w:rFonts w:ascii="Times New Roman" w:hAnsi="Times New Roman"/>
          <w:color w:val="auto"/>
          <w:sz w:val="20"/>
          <w:szCs w:val="20"/>
        </w:rPr>
        <w:t>mouth to create a sound similar to a baby deer while hunting (Native American Ethnobotany Database).</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Pr="000968E2" w:rsidRDefault="002375B8" w:rsidP="00DE7F41">
      <w:pPr>
        <w:pStyle w:val="NRCSBodyText"/>
        <w:rPr>
          <w:i/>
        </w:rPr>
      </w:pPr>
      <w:r w:rsidRPr="002375B8">
        <w:rPr>
          <w:i/>
        </w:rPr>
        <w:t>General</w:t>
      </w:r>
      <w:r>
        <w:t>:</w:t>
      </w:r>
      <w:r w:rsidR="004B2715">
        <w:t xml:space="preserve">  Thickleaf penstemon</w:t>
      </w:r>
      <w:r w:rsidR="00947391">
        <w:t xml:space="preserve">, a member of the Figwort Family (Schrophulariaceae), </w:t>
      </w:r>
      <w:r w:rsidR="004B2715">
        <w:t>is a short-lived perennial, native, herb growing 30-65 cm tall with well-developed basal leaves and a few, erect, simple stems arising from a thick crown.  The leaves are fleshy, bluish-green in color and covered with wax.  Leaves are opposite, and basal leaves are 5-10 cm long and 12-35 mm wide</w:t>
      </w:r>
      <w:r w:rsidR="0013687A">
        <w:t>, oblanceolate to spatulate.  Upper leaves are 2-5 cm long and 7-20 mm wide.  Flower clusters are 2-5 flowered, tubular and blue to violet in color.  The fruit is a capsule 9-13 mm long and seeds are 2-3 mm long.  Cronquist et. al., (1984) recognizes two botanical varieties and provides a key to distinguish them based on floral characteristics as well as geographic distribution.</w:t>
      </w:r>
    </w:p>
    <w:p w:rsidR="002375B8" w:rsidRDefault="002375B8" w:rsidP="00820FDB">
      <w:pPr>
        <w:pStyle w:val="NRCSBodyText"/>
        <w:spacing w:before="240"/>
      </w:pPr>
      <w:r w:rsidRPr="002375B8">
        <w:rPr>
          <w:i/>
        </w:rPr>
        <w:t>Distribution</w:t>
      </w:r>
      <w:r>
        <w:t>:</w:t>
      </w:r>
      <w:r w:rsidR="004011BB">
        <w:t xml:space="preserve">  </w:t>
      </w:r>
      <w:r w:rsidR="00820FDB">
        <w:t>Thickleaf pe</w:t>
      </w:r>
      <w:r w:rsidR="00F67510">
        <w:t>n</w:t>
      </w:r>
      <w:r w:rsidR="00820FDB">
        <w:t xml:space="preserve">stemon is found in the western states of Wyoming, Colorado, New Mexico, Arizona, Nevada and Utah.  </w:t>
      </w:r>
      <w:r w:rsidRPr="00964586">
        <w:t>For current distribution, please consult the Plant Profile page for this species on the PLANTS Web site.</w:t>
      </w:r>
    </w:p>
    <w:p w:rsidR="00DE7F41" w:rsidRPr="000968E2" w:rsidRDefault="002375B8" w:rsidP="00DE7F41">
      <w:pPr>
        <w:pStyle w:val="NRCSBodyText"/>
        <w:spacing w:before="240"/>
        <w:rPr>
          <w:i/>
        </w:rPr>
      </w:pPr>
      <w:r w:rsidRPr="002375B8">
        <w:rPr>
          <w:i/>
        </w:rPr>
        <w:t>Habitat</w:t>
      </w:r>
      <w:r>
        <w:t>:</w:t>
      </w:r>
      <w:r w:rsidR="006B4B3E">
        <w:t xml:space="preserve"> </w:t>
      </w:r>
      <w:r w:rsidR="00721E96">
        <w:t xml:space="preserve"> </w:t>
      </w:r>
      <w:r w:rsidR="00820FDB">
        <w:t>Thickleaf penstemon is found in salt desert shrub, sagebrush-grass, pinyon-juniper, mountain brush, and conifer plant communities (Monsen et. al., 2004).</w:t>
      </w:r>
    </w:p>
    <w:p w:rsidR="00CD49CC" w:rsidRPr="00DE7F41" w:rsidRDefault="00CD49CC" w:rsidP="00DE7F41">
      <w:pPr>
        <w:pStyle w:val="BodytextNRCS"/>
        <w:spacing w:before="240"/>
        <w:rPr>
          <w:b/>
        </w:rPr>
      </w:pPr>
      <w:r w:rsidRPr="00DE7F41">
        <w:rPr>
          <w:b/>
        </w:rPr>
        <w:t>Adaptation</w:t>
      </w:r>
    </w:p>
    <w:p w:rsidR="00DE7F41" w:rsidRPr="00F8300B" w:rsidRDefault="00947391" w:rsidP="00DE7F41">
      <w:pPr>
        <w:pStyle w:val="NRCSBodyText"/>
      </w:pPr>
      <w:r>
        <w:t>T</w:t>
      </w:r>
      <w:r w:rsidR="00820FDB" w:rsidRPr="00F8300B">
        <w:t>hickleaf penstemon</w:t>
      </w:r>
      <w:r>
        <w:t xml:space="preserve"> specific information</w:t>
      </w:r>
      <w:r w:rsidR="00820FDB" w:rsidRPr="00F8300B">
        <w:t xml:space="preserve"> is limited.  Penstemon</w:t>
      </w:r>
      <w:r w:rsidR="00E35DCE">
        <w:t xml:space="preserve"> species</w:t>
      </w:r>
      <w:r w:rsidR="00820FDB" w:rsidRPr="00F8300B">
        <w:t xml:space="preserve"> in general</w:t>
      </w:r>
      <w:r w:rsidR="00F8300B">
        <w:t>,</w:t>
      </w:r>
      <w:r w:rsidR="00820FDB" w:rsidRPr="00F8300B">
        <w:t xml:space="preserve"> prefer well-drained</w:t>
      </w:r>
      <w:r w:rsidR="007C477C" w:rsidRPr="00F8300B">
        <w:t xml:space="preserve">, infertile, disturbed soils.  Thickleaf penstemon occurs on dry gravelly soils at elevations of </w:t>
      </w:r>
      <w:r w:rsidR="00F8300B" w:rsidRPr="00F8300B">
        <w:t>5,250-8,200 feet (Cronquist et. al., 1984).  Annual precipitation requ</w:t>
      </w:r>
      <w:r w:rsidR="00F8300B">
        <w:t>i</w:t>
      </w:r>
      <w:r w:rsidR="00F8300B" w:rsidRPr="00F8300B">
        <w:t>rements are estimated to be 10-16 inches</w:t>
      </w:r>
      <w:r w:rsidR="005A7BEE">
        <w:t xml:space="preserve"> for thickleaf penstemon to establish and persist</w:t>
      </w:r>
      <w:r w:rsidR="00F8300B" w:rsidRPr="00F8300B">
        <w:t>.</w:t>
      </w:r>
    </w:p>
    <w:p w:rsidR="00CD49CC" w:rsidRPr="00721B7E" w:rsidRDefault="00CD49CC" w:rsidP="00721B7E">
      <w:pPr>
        <w:pStyle w:val="Heading3"/>
      </w:pPr>
      <w:r w:rsidRPr="00721B7E">
        <w:lastRenderedPageBreak/>
        <w:t>Establishment</w:t>
      </w:r>
    </w:p>
    <w:p w:rsidR="00DE7F41" w:rsidRDefault="00E41475" w:rsidP="00DE7F41">
      <w:pPr>
        <w:pStyle w:val="NRCSBodyText"/>
      </w:pPr>
      <w:r>
        <w:t xml:space="preserve">Monsen et. al., (2004) state that the planting process for thickleaf penstemon is similar </w:t>
      </w:r>
      <w:r w:rsidR="00682549">
        <w:t>to</w:t>
      </w:r>
      <w:r>
        <w:t xml:space="preserve"> other penstemon species.  The general recommendation is to plant seed in the fall from </w:t>
      </w:r>
      <w:r w:rsidRPr="005704C0">
        <w:rPr>
          <w:sz w:val="16"/>
          <w:szCs w:val="16"/>
        </w:rPr>
        <w:t>1/8</w:t>
      </w:r>
      <w:r>
        <w:t xml:space="preserve"> to no more than </w:t>
      </w:r>
      <w:r w:rsidRPr="00947391">
        <w:t>¼</w:t>
      </w:r>
      <w:r>
        <w:t xml:space="preserve"> inch depth into a firm, weed-free seedbed.  Good seed to soil contact is important for germination and establishment.  There are approximately 335,000 seeds per pound (Monsen et. al., 2004).  To achieve a target seeding rate of 25 seeds per square foot, 3.25 pounds PLS (Pure Live Seed) /ac should be planted to achieve a full stand.  When used as a component of a seed mix adjust the seeding rate to the percent of mix desired.</w:t>
      </w:r>
      <w:r w:rsidR="005704C0">
        <w:t xml:space="preserve">  Thickleaf penstemon should be drilled through a legume box or with a seed dilutent such as rice hulls because the seeds are small and may separate from other seeds in the mix.</w:t>
      </w:r>
    </w:p>
    <w:p w:rsidR="005704C0" w:rsidRDefault="005704C0" w:rsidP="00DE7F41">
      <w:pPr>
        <w:pStyle w:val="NRCSBodyText"/>
      </w:pPr>
    </w:p>
    <w:p w:rsidR="005704C0" w:rsidRDefault="005704C0" w:rsidP="00DE7F41">
      <w:pPr>
        <w:pStyle w:val="NRCSBodyText"/>
      </w:pPr>
      <w:r>
        <w:t>Mulching, irrigation and weed control benefit stand establishment.  Some seed may not germinate until the second growing season.  Plants begin growth early in the spring and flower blossoms appear in the late spring and early summer.  Flowering should not be expected until the second growing season.</w:t>
      </w:r>
    </w:p>
    <w:p w:rsidR="005704C0" w:rsidRDefault="005704C0" w:rsidP="00DE7F41">
      <w:pPr>
        <w:pStyle w:val="NRCSBodyText"/>
      </w:pPr>
    </w:p>
    <w:p w:rsidR="005704C0" w:rsidRPr="000968E2" w:rsidRDefault="005704C0" w:rsidP="00DE7F41">
      <w:pPr>
        <w:pStyle w:val="NRCSBodyText"/>
        <w:rPr>
          <w:i/>
        </w:rPr>
      </w:pPr>
      <w:r>
        <w:t>Weed control will be required during establishment.  Because penstemon is a broadleaf plant, the use of broadleaf type herbicides is not recommended.  Mowing weeds when they are beginning to bloom will help reduce weed seed development.</w:t>
      </w:r>
    </w:p>
    <w:p w:rsidR="00721B7E" w:rsidRPr="00721B7E" w:rsidRDefault="00CD49CC" w:rsidP="00721B7E">
      <w:pPr>
        <w:pStyle w:val="Heading3"/>
      </w:pPr>
      <w:r w:rsidRPr="00721B7E">
        <w:t>Management</w:t>
      </w:r>
    </w:p>
    <w:p w:rsidR="00DE7F41" w:rsidRPr="000968E2" w:rsidRDefault="002A5618" w:rsidP="002A5618">
      <w:pPr>
        <w:pStyle w:val="NRCSBodyText"/>
        <w:rPr>
          <w:i/>
        </w:rPr>
      </w:pPr>
      <w:r>
        <w:t>Thickleaf</w:t>
      </w:r>
      <w:r w:rsidRPr="007F2814">
        <w:t xml:space="preserve"> penstemon should be used as a minor component of seed mixtures.  Management strategies should be based on the key species in the established plant community.  Grazing should be deferred on seeded lands for at least two growing seasons after seeding to allow for full stand establishment.</w:t>
      </w:r>
      <w:r>
        <w:t xml:space="preserve">  It is a short-lived plant, but with proper management, natural regeneration should maintain plants in the vegetative community.</w:t>
      </w:r>
    </w:p>
    <w:p w:rsidR="00721B7E" w:rsidRDefault="00CD49CC" w:rsidP="00721B7E">
      <w:pPr>
        <w:pStyle w:val="Heading3"/>
      </w:pPr>
      <w:r w:rsidRPr="00A90532">
        <w:t>Pests and Potential Problems</w:t>
      </w:r>
    </w:p>
    <w:p w:rsidR="00DE7F41" w:rsidRPr="000968E2" w:rsidRDefault="002A5618" w:rsidP="00DE7F41">
      <w:pPr>
        <w:pStyle w:val="NRCSBodyText"/>
        <w:rPr>
          <w:i/>
        </w:rPr>
      </w:pPr>
      <w:r>
        <w:t xml:space="preserve">Information on pests and diseases of thickleaf penstemon is not well known.  </w:t>
      </w:r>
      <w:r w:rsidRPr="006E1E15">
        <w:t>In general, penstemon is susceptible to soil-borne fusarium and rhizo</w:t>
      </w:r>
      <w:r w:rsidR="002C6F59">
        <w:t>c</w:t>
      </w:r>
      <w:r w:rsidRPr="006E1E15">
        <w:t>tonia root rot which can be sever</w:t>
      </w:r>
      <w:r>
        <w:t>e</w:t>
      </w:r>
      <w:r w:rsidRPr="006E1E15">
        <w:t xml:space="preserve"> in poorly drained loam and clay tex</w:t>
      </w:r>
      <w:r>
        <w:t>t</w:t>
      </w:r>
      <w:r w:rsidRPr="006E1E15">
        <w:t>u</w:t>
      </w:r>
      <w:r>
        <w:t>r</w:t>
      </w:r>
      <w:r w:rsidRPr="006E1E15">
        <w:t>ed soils.</w:t>
      </w:r>
      <w:r>
        <w:t xml:space="preserve">  Grasshoppers and other insects may also damage plants.</w:t>
      </w:r>
    </w:p>
    <w:p w:rsidR="00CD49CC" w:rsidRPr="00721B7E" w:rsidRDefault="00CD49CC" w:rsidP="00721B7E">
      <w:pPr>
        <w:pStyle w:val="Heading3"/>
      </w:pPr>
      <w:r w:rsidRPr="00721B7E">
        <w:t>Environmental Concerns</w:t>
      </w:r>
    </w:p>
    <w:p w:rsidR="00B75947" w:rsidRPr="00187D0F" w:rsidRDefault="00B75947" w:rsidP="00B75947">
      <w:pPr>
        <w:pStyle w:val="NRCSBodyText"/>
      </w:pPr>
      <w:r>
        <w:t>Thickleaf penstemon is a native plant species found in western North America and has no known negative impacts on wild or domestic animals.  It is not considered a weedy or invasive species but can spread to adjoining vegetative communities under ideal conditions.  It co-exists with other native species and adds biodiversity to plant communities.</w:t>
      </w:r>
    </w:p>
    <w:p w:rsidR="00721B7E" w:rsidRDefault="002375B8" w:rsidP="00721B7E">
      <w:pPr>
        <w:pStyle w:val="Heading3"/>
      </w:pPr>
      <w:r w:rsidRPr="00A90532">
        <w:t>Seed and Plant Production</w:t>
      </w:r>
    </w:p>
    <w:p w:rsidR="00EB0A41" w:rsidRDefault="00EB0A41" w:rsidP="00EB0A41">
      <w:pPr>
        <w:pStyle w:val="NRCSBodyText"/>
      </w:pPr>
      <w:r>
        <w:t xml:space="preserve">There can be considerable variability in seed dormancy among collections of the same species of penstemon.  A few methods can be used to overcome dormancy </w:t>
      </w:r>
      <w:r>
        <w:lastRenderedPageBreak/>
        <w:t>including the use of aged seed where after-ripening causes seed to lose dormancy, moist pre-chilling (stratification), and the use of plant hormones referred to as gibberellins (GAs).  Kitchen and Meyer (1991) found germination of thickleaf penstemon to be negatively affected by chilling.  There were also significant differences in germination between different lengths of stratification periods.  Treatment of thickleaf penstemon seed with GA</w:t>
      </w:r>
      <w:r w:rsidRPr="00677EEE">
        <w:rPr>
          <w:vertAlign w:val="subscript"/>
        </w:rPr>
        <w:t>3</w:t>
      </w:r>
      <w:r>
        <w:t xml:space="preserve"> at a minimum concentration of 50 ppm resulted in complete germination.  </w:t>
      </w:r>
      <w:r w:rsidR="005A47C4">
        <w:t xml:space="preserve">Abella </w:t>
      </w:r>
      <w:r w:rsidR="00B02FC9">
        <w:t>(2009) evaluated emergence of 61 plant species where seed was subjected to liquid smoke treatments and found significant difference between non-treated seed and seed exposed to a 10 % (vol/vol) aqueous smoke.  Non-treated seed of thickleaf penstemon had 3% emergence vs. treated seed which had 30% emergence.</w:t>
      </w:r>
    </w:p>
    <w:p w:rsidR="00EB0A41" w:rsidRDefault="00EB0A41" w:rsidP="00EB0A41">
      <w:pPr>
        <w:pStyle w:val="NRCSBodyText"/>
      </w:pPr>
    </w:p>
    <w:p w:rsidR="00EB0A41" w:rsidRDefault="00EB0A41" w:rsidP="00EB0A41">
      <w:pPr>
        <w:pStyle w:val="NRCSBodyText"/>
      </w:pPr>
      <w:r>
        <w:t>A standard method for propagating penstemon for transplants is to stratify the seed for 8-12 weeks in cold and moist conditions.  Seed should be surface sown into plant containers</w:t>
      </w:r>
      <w:r w:rsidR="00947391">
        <w:t>,</w:t>
      </w:r>
      <w:r>
        <w:t xml:space="preserve"> pressed into the soil surface </w:t>
      </w:r>
      <w:r w:rsidR="00947391">
        <w:t>with</w:t>
      </w:r>
      <w:r>
        <w:t xml:space="preserve"> containers </w:t>
      </w:r>
      <w:r w:rsidR="00947391">
        <w:t xml:space="preserve">then </w:t>
      </w:r>
      <w:r>
        <w:t xml:space="preserve">stored under cool (36° F), dark conditions for 8-12 weeks.  After </w:t>
      </w:r>
      <w:r w:rsidR="00947391">
        <w:t xml:space="preserve">the </w:t>
      </w:r>
      <w:r>
        <w:t>stratification period, bring plants into greenhouse conditions and allow plants to grow for 8-12 weeks before transplanting in the field.  Propagation of new plants from divi</w:t>
      </w:r>
      <w:r w:rsidR="00947391">
        <w:t>sion of</w:t>
      </w:r>
      <w:r>
        <w:t xml:space="preserve"> older plants is also possible.</w:t>
      </w:r>
    </w:p>
    <w:p w:rsidR="00EB0A41" w:rsidRDefault="00EB0A41" w:rsidP="00EB0A41">
      <w:pPr>
        <w:pStyle w:val="NRCSBodyText"/>
      </w:pPr>
    </w:p>
    <w:p w:rsidR="00EB0A41" w:rsidRDefault="00EB0A41" w:rsidP="00EB0A41">
      <w:pPr>
        <w:pStyle w:val="NRCSBodyText"/>
      </w:pPr>
      <w:r>
        <w:t xml:space="preserve">Fields for seed production can be established from direct seeding or from transplanting greenhouse grown containerized stock.  Direct seeding should </w:t>
      </w:r>
      <w:r w:rsidR="00947391">
        <w:t>occur</w:t>
      </w:r>
      <w:r>
        <w:t xml:space="preserve"> in late fall to allow for natural stratification of the seed.  </w:t>
      </w:r>
      <w:r w:rsidR="006E729C">
        <w:t>Thickleaf</w:t>
      </w:r>
      <w:r>
        <w:t xml:space="preserve"> penstemon should be seeded in 30-36 inch rows at a rate of 1.</w:t>
      </w:r>
      <w:r w:rsidR="006E729C">
        <w:t>0</w:t>
      </w:r>
      <w:r>
        <w:t xml:space="preserve"> pounds PLS/ac (target 30 pure live seeds per linear foot of drill row) to allow for mechanical weed control (Cornforth et. al., 2001).  The use of weed barrier fabric is an alternative to allow closer spacing, reduce weeds and conserve soil moisture.  Plant spacing of 18 inches provides for maximum growth and seed yield when using weed barrier fabric.</w:t>
      </w:r>
    </w:p>
    <w:p w:rsidR="00EB0A41" w:rsidRDefault="00EB0A41" w:rsidP="00EB0A41">
      <w:pPr>
        <w:pStyle w:val="NRCSBodyText"/>
      </w:pPr>
    </w:p>
    <w:p w:rsidR="00EB0A41" w:rsidRPr="00E138A1" w:rsidRDefault="00EB0A41" w:rsidP="00EB0A41">
      <w:pPr>
        <w:pStyle w:val="NRCSBodyText"/>
      </w:pPr>
      <w:r>
        <w:t xml:space="preserve">Seed normally ripens from mid-August to mid-September and is mature when seed capsules dry and become hard and dark in color.  Seed will shatter once capsules have opened.  Seed can be harvested by hand-stripping or with </w:t>
      </w:r>
      <w:r w:rsidR="004B341C">
        <w:t xml:space="preserve">a </w:t>
      </w:r>
      <w:r>
        <w:t>combine.  Seed is separated from the capsule with use of a hammermill or barley debearder followed by fan cleaning.  Seed yields average 100 pounds per acre</w:t>
      </w:r>
      <w:r w:rsidR="00E35DCE">
        <w:t xml:space="preserve"> and seeds can be stored for up to 14 years without appreciable loss of viability (Stevens and Jorgensen, 1994)</w:t>
      </w:r>
      <w:r w:rsidR="006E729C">
        <w:t>.</w:t>
      </w:r>
    </w:p>
    <w:p w:rsidR="00CD49CC" w:rsidRDefault="00CD49CC" w:rsidP="00721B7E">
      <w:pPr>
        <w:pStyle w:val="Heading3"/>
      </w:pPr>
      <w:r w:rsidRPr="00A90532">
        <w:t>Cultivars, Improved, and Selected Materials (and area of origin)</w:t>
      </w:r>
    </w:p>
    <w:p w:rsidR="00DE7F41" w:rsidRDefault="00AB6448" w:rsidP="00DE7F41">
      <w:pPr>
        <w:pStyle w:val="NRCSBodyText"/>
      </w:pPr>
      <w:r>
        <w:t>There are no cultivars, improved, or selected materials of thickleaf penstemon.  Common wildland collected seed is available from commercial sources (Native Seed Network).</w:t>
      </w:r>
    </w:p>
    <w:p w:rsidR="00040B0B" w:rsidRDefault="00040B0B" w:rsidP="00DE7F41">
      <w:pPr>
        <w:pStyle w:val="NRCSBodyText"/>
      </w:pPr>
    </w:p>
    <w:p w:rsidR="00040B0B" w:rsidRPr="000968E2" w:rsidRDefault="00040B0B" w:rsidP="00DE7F41">
      <w:pPr>
        <w:pStyle w:val="NRCSBodyText"/>
        <w:rPr>
          <w:i/>
        </w:rPr>
      </w:pPr>
    </w:p>
    <w:p w:rsidR="002375B8" w:rsidRPr="00A90532" w:rsidRDefault="002375B8" w:rsidP="00721B7E">
      <w:pPr>
        <w:pStyle w:val="Heading3"/>
        <w:rPr>
          <w:i/>
          <w:iCs/>
        </w:rPr>
      </w:pPr>
      <w:r w:rsidRPr="00A90532">
        <w:lastRenderedPageBreak/>
        <w:t>References</w:t>
      </w:r>
    </w:p>
    <w:p w:rsidR="00B02FC9" w:rsidRDefault="00B02FC9" w:rsidP="00B67061">
      <w:pPr>
        <w:ind w:left="360" w:hanging="360"/>
        <w:jc w:val="left"/>
        <w:rPr>
          <w:sz w:val="20"/>
        </w:rPr>
      </w:pPr>
      <w:r>
        <w:rPr>
          <w:sz w:val="20"/>
        </w:rPr>
        <w:t>Abella, S. 2009.  Smoke-cued emergence in plant species of ponderosa pine forests:</w:t>
      </w:r>
      <w:r w:rsidR="00535912">
        <w:rPr>
          <w:sz w:val="20"/>
        </w:rPr>
        <w:t xml:space="preserve"> </w:t>
      </w:r>
      <w:r>
        <w:rPr>
          <w:sz w:val="20"/>
        </w:rPr>
        <w:t>contrasting greenhouse and field results. Fire Ecology 5(1):22-37.</w:t>
      </w:r>
    </w:p>
    <w:p w:rsidR="00B67061" w:rsidRDefault="00B67061" w:rsidP="00B67061">
      <w:pPr>
        <w:ind w:left="360" w:hanging="360"/>
        <w:jc w:val="left"/>
        <w:rPr>
          <w:sz w:val="20"/>
        </w:rPr>
      </w:pPr>
      <w:r>
        <w:rPr>
          <w:sz w:val="20"/>
        </w:rPr>
        <w:t>Cornforth, B., St. John, L., Ogle, D. 2001. Seed Production Standards for Conservation Plants in the Intermountain West.  Technical Note 14. USDA-Natural Resources Conservation Service. Boise, ID. 15 p.</w:t>
      </w:r>
    </w:p>
    <w:p w:rsidR="00BB3851" w:rsidRDefault="00BB3851" w:rsidP="00BB3851">
      <w:pPr>
        <w:ind w:left="360" w:hanging="360"/>
        <w:jc w:val="left"/>
        <w:rPr>
          <w:sz w:val="20"/>
        </w:rPr>
      </w:pPr>
      <w:r>
        <w:rPr>
          <w:sz w:val="20"/>
        </w:rPr>
        <w:t>Cronquist, A., Holmgren, A., Holmgren, N., Reveal, J., Holmgren, P. 1984. Intermountain Flora. Volume Four. Subclass Asteridae (except Asteraceae). The New York Botanical Garden, Bronx, New York.</w:t>
      </w:r>
    </w:p>
    <w:p w:rsidR="00603983" w:rsidRDefault="00603983" w:rsidP="00603983">
      <w:pPr>
        <w:ind w:left="360" w:hanging="360"/>
        <w:jc w:val="left"/>
        <w:rPr>
          <w:sz w:val="20"/>
        </w:rPr>
      </w:pPr>
      <w:r>
        <w:rPr>
          <w:sz w:val="20"/>
        </w:rPr>
        <w:t>Kitchen S., Meyer, S. 1991.  Seed Germination of Intermountain Penstemons as Influenced by Stratification and GA</w:t>
      </w:r>
      <w:r w:rsidRPr="00241DA6">
        <w:rPr>
          <w:sz w:val="20"/>
          <w:vertAlign w:val="subscript"/>
        </w:rPr>
        <w:t>3</w:t>
      </w:r>
      <w:r>
        <w:rPr>
          <w:sz w:val="20"/>
        </w:rPr>
        <w:t xml:space="preserve"> Treatments.  J. Environ. Hort. 9(1):51-56.</w:t>
      </w:r>
    </w:p>
    <w:p w:rsidR="00966530" w:rsidRDefault="00966530" w:rsidP="0098400B">
      <w:pPr>
        <w:ind w:left="360" w:hanging="360"/>
        <w:jc w:val="left"/>
        <w:rPr>
          <w:sz w:val="20"/>
        </w:rPr>
      </w:pPr>
      <w:r>
        <w:rPr>
          <w:sz w:val="20"/>
        </w:rPr>
        <w:t xml:space="preserve">Kramer, A., Fant, J., Ashley, M. 2011.  Influences of Landscape and Pollinators on Population Genetic Structure: Examples from Three Penstemon (Plantaginaceae) </w:t>
      </w:r>
      <w:r w:rsidR="000E4CDF">
        <w:rPr>
          <w:sz w:val="20"/>
        </w:rPr>
        <w:t>Species</w:t>
      </w:r>
      <w:r>
        <w:rPr>
          <w:sz w:val="20"/>
        </w:rPr>
        <w:t xml:space="preserve"> in the Great Basin. Am. J. Botany 98(1): 109-121.</w:t>
      </w:r>
    </w:p>
    <w:p w:rsidR="0098400B" w:rsidRDefault="0098400B" w:rsidP="0098400B">
      <w:pPr>
        <w:ind w:left="360" w:hanging="360"/>
        <w:jc w:val="left"/>
        <w:rPr>
          <w:sz w:val="20"/>
        </w:rPr>
      </w:pPr>
      <w:r>
        <w:rPr>
          <w:sz w:val="20"/>
        </w:rPr>
        <w:t>Monsen, S. Stevens, R., Shaw, N. comps. 2004.  Restoring western ranges and wildlands. Gen Tech. Rep. RMRS-GTR-136-vol 2. Fort Collins, CO: U.S. Department of Agriculture, Forest Service, Rocky Mountain Research Station. p 454-456.</w:t>
      </w:r>
    </w:p>
    <w:p w:rsidR="004D5601" w:rsidRDefault="004D5601" w:rsidP="004D5601">
      <w:pPr>
        <w:ind w:left="360" w:hanging="360"/>
        <w:jc w:val="left"/>
        <w:rPr>
          <w:sz w:val="20"/>
        </w:rPr>
      </w:pPr>
      <w:r>
        <w:rPr>
          <w:sz w:val="20"/>
        </w:rPr>
        <w:t xml:space="preserve">Native American Ethnobotany: A database of foods, drugs, and fibers of Native American Peoples, derived from plants. </w:t>
      </w:r>
      <w:r w:rsidRPr="00530C0D">
        <w:rPr>
          <w:sz w:val="20"/>
        </w:rPr>
        <w:t>http://herb.umd.umich.edu/herb/search</w:t>
      </w:r>
      <w:r>
        <w:rPr>
          <w:sz w:val="20"/>
        </w:rPr>
        <w:t>. (accessed 11 September, 2013)</w:t>
      </w:r>
    </w:p>
    <w:p w:rsidR="000D6FB1" w:rsidRDefault="000D6FB1" w:rsidP="000D6FB1">
      <w:pPr>
        <w:ind w:left="360" w:hanging="360"/>
        <w:jc w:val="left"/>
        <w:rPr>
          <w:sz w:val="20"/>
        </w:rPr>
      </w:pPr>
      <w:r>
        <w:rPr>
          <w:sz w:val="20"/>
        </w:rPr>
        <w:t xml:space="preserve">Native Seed Network. </w:t>
      </w:r>
      <w:r w:rsidRPr="00A34BEF">
        <w:rPr>
          <w:sz w:val="20"/>
        </w:rPr>
        <w:t>http://www.nativeseednetwork.org</w:t>
      </w:r>
      <w:r>
        <w:rPr>
          <w:sz w:val="20"/>
        </w:rPr>
        <w:t xml:space="preserve"> (accessed 17 September, 2013)</w:t>
      </w:r>
    </w:p>
    <w:p w:rsidR="00E35DCE" w:rsidRDefault="00E35DCE" w:rsidP="004D5601">
      <w:pPr>
        <w:ind w:left="360" w:hanging="360"/>
        <w:jc w:val="left"/>
        <w:rPr>
          <w:sz w:val="20"/>
        </w:rPr>
      </w:pPr>
      <w:r>
        <w:rPr>
          <w:sz w:val="20"/>
        </w:rPr>
        <w:t>Stevens, R., Jorgensen, K. 1994.  Rangeland species germination through 25 and up to 40 years of warehouse storage.  In: Monsen, S., Kitchen, S., comps. 1994. Proceedings</w:t>
      </w:r>
      <w:r w:rsidR="00A85120">
        <w:rPr>
          <w:sz w:val="20"/>
        </w:rPr>
        <w:t xml:space="preserve"> – Ecology and Management of Annual Rangelands</w:t>
      </w:r>
      <w:r w:rsidR="000E4CDF">
        <w:rPr>
          <w:sz w:val="20"/>
        </w:rPr>
        <w:t>; 1992</w:t>
      </w:r>
      <w:r w:rsidR="00A85120">
        <w:rPr>
          <w:sz w:val="20"/>
        </w:rPr>
        <w:t xml:space="preserve"> May 18-21; Boise, ID. Gen. Tech. Rep. INT-GTR-313. Ogden, UT: U.S. Department of Agriculture, Forest Service, Intermountain Research Station:</w:t>
      </w:r>
      <w:r w:rsidR="00C81660">
        <w:rPr>
          <w:sz w:val="20"/>
        </w:rPr>
        <w:t xml:space="preserve"> </w:t>
      </w:r>
      <w:r w:rsidR="00A85120">
        <w:rPr>
          <w:sz w:val="20"/>
        </w:rPr>
        <w:t>257-265.</w:t>
      </w:r>
    </w:p>
    <w:p w:rsidR="004D5601" w:rsidRDefault="004D5601" w:rsidP="0098400B">
      <w:pPr>
        <w:ind w:left="360" w:hanging="360"/>
        <w:jc w:val="left"/>
        <w:rPr>
          <w:sz w:val="20"/>
        </w:rPr>
      </w:pPr>
    </w:p>
    <w:p w:rsidR="002C6F59" w:rsidRDefault="00DD41E3" w:rsidP="00DE7F41">
      <w:pPr>
        <w:pStyle w:val="NRCSBodyText"/>
      </w:pPr>
      <w:r w:rsidRPr="00A90532">
        <w:rPr>
          <w:b/>
        </w:rPr>
        <w:t>Prepared By</w:t>
      </w:r>
      <w:r w:rsidR="00721E96">
        <w:t xml:space="preserve">:  </w:t>
      </w:r>
    </w:p>
    <w:p w:rsidR="00762CB0" w:rsidRDefault="00762CB0" w:rsidP="00762CB0">
      <w:pPr>
        <w:pStyle w:val="NRCSBodyText"/>
      </w:pPr>
      <w:r>
        <w:t>Daniel G. Ogle, USDA NRCS Idaho State Office, Boise, ID</w:t>
      </w:r>
    </w:p>
    <w:p w:rsidR="00762CB0" w:rsidRDefault="00762CB0" w:rsidP="00762CB0">
      <w:pPr>
        <w:pStyle w:val="NRCSBodyText"/>
      </w:pPr>
      <w:r>
        <w:t>J. Scott Peterson, USDA NRCS National Plant Data Center, Baton Rouge, LA</w:t>
      </w:r>
    </w:p>
    <w:p w:rsidR="00762CB0" w:rsidRDefault="00762CB0" w:rsidP="00762CB0">
      <w:pPr>
        <w:pStyle w:val="NRCSBodyText"/>
      </w:pPr>
      <w:r>
        <w:t>Loren St. John, USDA NRCS Plant Materials Center, Aberdeen, ID</w:t>
      </w:r>
    </w:p>
    <w:p w:rsidR="00DE7F41" w:rsidRPr="002C6F59" w:rsidRDefault="00DE7F41" w:rsidP="00DE7F41">
      <w:pPr>
        <w:pStyle w:val="NRCSBodyText"/>
      </w:pPr>
    </w:p>
    <w:p w:rsidR="000E3166" w:rsidRDefault="00F26813" w:rsidP="007008E1">
      <w:pPr>
        <w:pStyle w:val="Heading3"/>
      </w:pPr>
      <w:r w:rsidRPr="00A90532">
        <w:t>Citation</w:t>
      </w:r>
    </w:p>
    <w:p w:rsidR="007008E1" w:rsidRPr="007C3102" w:rsidRDefault="007008E1" w:rsidP="007008E1">
      <w:pPr>
        <w:jc w:val="left"/>
        <w:rPr>
          <w:sz w:val="20"/>
        </w:rPr>
      </w:pPr>
      <w:r w:rsidRPr="007C3102">
        <w:rPr>
          <w:sz w:val="20"/>
        </w:rPr>
        <w:t xml:space="preserve">Ogle, D., Peterson, S., St. John, L. 2013. Plant Guide for </w:t>
      </w:r>
      <w:r>
        <w:rPr>
          <w:sz w:val="20"/>
        </w:rPr>
        <w:t>thickleaf</w:t>
      </w:r>
      <w:r w:rsidRPr="007C3102">
        <w:rPr>
          <w:sz w:val="20"/>
        </w:rPr>
        <w:t xml:space="preserve"> penstemon (</w:t>
      </w:r>
      <w:r w:rsidRPr="007C3102">
        <w:rPr>
          <w:i/>
          <w:sz w:val="20"/>
        </w:rPr>
        <w:t xml:space="preserve">Penstemon </w:t>
      </w:r>
      <w:r>
        <w:rPr>
          <w:i/>
          <w:sz w:val="20"/>
        </w:rPr>
        <w:t>pachyphyllus)</w:t>
      </w:r>
      <w:r w:rsidRPr="007C3102">
        <w:rPr>
          <w:sz w:val="20"/>
        </w:rPr>
        <w:t>. USDA-Natural Resources Conservation Service, Plant Materials Center. Aberdeen, Idaho 83210.</w:t>
      </w:r>
    </w:p>
    <w:p w:rsidR="007008E1" w:rsidRDefault="007008E1" w:rsidP="007008E1">
      <w:pPr>
        <w:jc w:val="left"/>
        <w:rPr>
          <w:sz w:val="20"/>
        </w:rPr>
      </w:pPr>
    </w:p>
    <w:p w:rsidR="007008E1" w:rsidRPr="007008E1" w:rsidRDefault="007008E1" w:rsidP="007008E1">
      <w:pPr>
        <w:jc w:val="left"/>
        <w:rPr>
          <w:sz w:val="20"/>
        </w:rPr>
      </w:pPr>
      <w:r>
        <w:rPr>
          <w:sz w:val="20"/>
        </w:rPr>
        <w:t>Revised October, 2013.  Original plant guide published June, 2003.</w:t>
      </w:r>
    </w:p>
    <w:p w:rsidR="00CD49CC" w:rsidRPr="007008E1" w:rsidRDefault="002375B8" w:rsidP="00DE7F41">
      <w:pPr>
        <w:pStyle w:val="BodytextNRCS"/>
        <w:spacing w:before="120"/>
        <w:rPr>
          <w:sz w:val="16"/>
          <w:szCs w:val="16"/>
        </w:rPr>
      </w:pPr>
      <w:r w:rsidRPr="007008E1">
        <w:rPr>
          <w:sz w:val="16"/>
          <w:szCs w:val="16"/>
        </w:rPr>
        <w:t xml:space="preserve">Edited: </w:t>
      </w:r>
      <w:r w:rsidR="007008E1" w:rsidRPr="007008E1">
        <w:rPr>
          <w:sz w:val="16"/>
          <w:szCs w:val="16"/>
        </w:rPr>
        <w:t>05Dec2000jsp; 11feb2003ahv; 06June2003jsp; 17Sep2013ls;</w:t>
      </w:r>
      <w:r w:rsidR="00947391">
        <w:rPr>
          <w:sz w:val="16"/>
          <w:szCs w:val="16"/>
        </w:rPr>
        <w:t xml:space="preserve"> </w:t>
      </w:r>
      <w:r w:rsidR="00535912">
        <w:rPr>
          <w:sz w:val="16"/>
          <w:szCs w:val="16"/>
        </w:rPr>
        <w:t>17Sep2013jab; 17Sep 2013djt</w:t>
      </w:r>
      <w:r w:rsidR="006D31FA">
        <w:rPr>
          <w:sz w:val="16"/>
          <w:szCs w:val="16"/>
        </w:rPr>
        <w:t>; 24Sep2013ls</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bookmarkStart w:id="1" w:name="_GoBack"/>
      <w:bookmarkEnd w:id="1"/>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7"/>
          <w:footerReference w:type="default" r:id="rId18"/>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372" w:rsidRDefault="00D23372">
      <w:r>
        <w:separator/>
      </w:r>
    </w:p>
  </w:endnote>
  <w:endnote w:type="continuationSeparator" w:id="0">
    <w:p w:rsidR="00D23372" w:rsidRDefault="00D23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Corbel"/>
    <w:panose1 w:val="00000000000000000000"/>
    <w:charset w:val="00"/>
    <w:family w:val="swiss"/>
    <w:notTrueType/>
    <w:pitch w:val="variable"/>
    <w:sig w:usb0="00000001" w:usb1="50002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1F7210" w:rsidRDefault="009322AB"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42E" w:rsidRDefault="00C2542E"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372" w:rsidRDefault="00D23372">
      <w:r>
        <w:separator/>
      </w:r>
    </w:p>
  </w:footnote>
  <w:footnote w:type="continuationSeparator" w:id="0">
    <w:p w:rsidR="00D23372" w:rsidRDefault="00D233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3749B3" w:rsidRDefault="009322AB"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252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372"/>
    <w:rsid w:val="00007042"/>
    <w:rsid w:val="000171EC"/>
    <w:rsid w:val="00024DE6"/>
    <w:rsid w:val="00034B57"/>
    <w:rsid w:val="00040B0B"/>
    <w:rsid w:val="00044CEF"/>
    <w:rsid w:val="00047A47"/>
    <w:rsid w:val="000578C2"/>
    <w:rsid w:val="000607FF"/>
    <w:rsid w:val="00061FD0"/>
    <w:rsid w:val="000633EC"/>
    <w:rsid w:val="00076424"/>
    <w:rsid w:val="000867C9"/>
    <w:rsid w:val="00094D80"/>
    <w:rsid w:val="00095E67"/>
    <w:rsid w:val="000A1774"/>
    <w:rsid w:val="000A69A1"/>
    <w:rsid w:val="000C04E7"/>
    <w:rsid w:val="000C2C03"/>
    <w:rsid w:val="000D3A30"/>
    <w:rsid w:val="000D6FB1"/>
    <w:rsid w:val="000E3166"/>
    <w:rsid w:val="000E35A0"/>
    <w:rsid w:val="000E4CDF"/>
    <w:rsid w:val="000F019C"/>
    <w:rsid w:val="000F1970"/>
    <w:rsid w:val="000F4C63"/>
    <w:rsid w:val="0013687A"/>
    <w:rsid w:val="00136DA6"/>
    <w:rsid w:val="00143135"/>
    <w:rsid w:val="001478F1"/>
    <w:rsid w:val="00161F74"/>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56BD5"/>
    <w:rsid w:val="0026727E"/>
    <w:rsid w:val="00272129"/>
    <w:rsid w:val="0027648E"/>
    <w:rsid w:val="00280D6D"/>
    <w:rsid w:val="00280F13"/>
    <w:rsid w:val="00293979"/>
    <w:rsid w:val="0029707F"/>
    <w:rsid w:val="002A5618"/>
    <w:rsid w:val="002A6B97"/>
    <w:rsid w:val="002B5C39"/>
    <w:rsid w:val="002C3B5E"/>
    <w:rsid w:val="002C45BA"/>
    <w:rsid w:val="002C6F59"/>
    <w:rsid w:val="002E6B0C"/>
    <w:rsid w:val="002F4DFE"/>
    <w:rsid w:val="00302C9A"/>
    <w:rsid w:val="00307324"/>
    <w:rsid w:val="0031050C"/>
    <w:rsid w:val="00313599"/>
    <w:rsid w:val="0032662A"/>
    <w:rsid w:val="00331B1C"/>
    <w:rsid w:val="00341F59"/>
    <w:rsid w:val="00354A89"/>
    <w:rsid w:val="0036701D"/>
    <w:rsid w:val="003749B3"/>
    <w:rsid w:val="003759E1"/>
    <w:rsid w:val="00376137"/>
    <w:rsid w:val="00377934"/>
    <w:rsid w:val="00380D17"/>
    <w:rsid w:val="00381329"/>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B2715"/>
    <w:rsid w:val="004B341C"/>
    <w:rsid w:val="004D5601"/>
    <w:rsid w:val="004E2BD6"/>
    <w:rsid w:val="004E2E49"/>
    <w:rsid w:val="004E4F33"/>
    <w:rsid w:val="004F2702"/>
    <w:rsid w:val="004F75FB"/>
    <w:rsid w:val="004F78CE"/>
    <w:rsid w:val="005124C2"/>
    <w:rsid w:val="00520FAC"/>
    <w:rsid w:val="00535912"/>
    <w:rsid w:val="00552FC3"/>
    <w:rsid w:val="00564F15"/>
    <w:rsid w:val="005704C0"/>
    <w:rsid w:val="00592CFA"/>
    <w:rsid w:val="005950BD"/>
    <w:rsid w:val="005A2740"/>
    <w:rsid w:val="005A47C4"/>
    <w:rsid w:val="005A7BEE"/>
    <w:rsid w:val="005B7111"/>
    <w:rsid w:val="005F57D8"/>
    <w:rsid w:val="005F6574"/>
    <w:rsid w:val="005F6BC2"/>
    <w:rsid w:val="00603983"/>
    <w:rsid w:val="00604076"/>
    <w:rsid w:val="00613FD4"/>
    <w:rsid w:val="00614036"/>
    <w:rsid w:val="0061608E"/>
    <w:rsid w:val="006241DA"/>
    <w:rsid w:val="006333FE"/>
    <w:rsid w:val="00634E80"/>
    <w:rsid w:val="0063641D"/>
    <w:rsid w:val="00666C7B"/>
    <w:rsid w:val="00682549"/>
    <w:rsid w:val="0068523F"/>
    <w:rsid w:val="006974B2"/>
    <w:rsid w:val="006A29CA"/>
    <w:rsid w:val="006B4B3E"/>
    <w:rsid w:val="006B716F"/>
    <w:rsid w:val="006C44A9"/>
    <w:rsid w:val="006D1492"/>
    <w:rsid w:val="006D31FA"/>
    <w:rsid w:val="006D7A42"/>
    <w:rsid w:val="006E729C"/>
    <w:rsid w:val="006F59DA"/>
    <w:rsid w:val="006F7A43"/>
    <w:rsid w:val="007008E1"/>
    <w:rsid w:val="00704BA1"/>
    <w:rsid w:val="00707E48"/>
    <w:rsid w:val="00712AC4"/>
    <w:rsid w:val="007210A5"/>
    <w:rsid w:val="00721B7E"/>
    <w:rsid w:val="00721E96"/>
    <w:rsid w:val="00722A00"/>
    <w:rsid w:val="007267E8"/>
    <w:rsid w:val="00732FEF"/>
    <w:rsid w:val="00740FE4"/>
    <w:rsid w:val="007478EA"/>
    <w:rsid w:val="00762CB0"/>
    <w:rsid w:val="00763908"/>
    <w:rsid w:val="007649A5"/>
    <w:rsid w:val="00777D4B"/>
    <w:rsid w:val="00782351"/>
    <w:rsid w:val="007866F3"/>
    <w:rsid w:val="00793969"/>
    <w:rsid w:val="00797B30"/>
    <w:rsid w:val="007A3680"/>
    <w:rsid w:val="007B08BA"/>
    <w:rsid w:val="007B2E0B"/>
    <w:rsid w:val="007B51E8"/>
    <w:rsid w:val="007C2D43"/>
    <w:rsid w:val="007C477C"/>
    <w:rsid w:val="007D357D"/>
    <w:rsid w:val="007F3743"/>
    <w:rsid w:val="007F62D1"/>
    <w:rsid w:val="008136B1"/>
    <w:rsid w:val="0081582F"/>
    <w:rsid w:val="008175C8"/>
    <w:rsid w:val="00820FDB"/>
    <w:rsid w:val="00830F95"/>
    <w:rsid w:val="008517EF"/>
    <w:rsid w:val="00877873"/>
    <w:rsid w:val="0089154B"/>
    <w:rsid w:val="008A4BFE"/>
    <w:rsid w:val="008A72B4"/>
    <w:rsid w:val="008B3C33"/>
    <w:rsid w:val="008D400F"/>
    <w:rsid w:val="008E6018"/>
    <w:rsid w:val="008F3D5A"/>
    <w:rsid w:val="009027B9"/>
    <w:rsid w:val="0090772D"/>
    <w:rsid w:val="00910DF4"/>
    <w:rsid w:val="00916BBA"/>
    <w:rsid w:val="009209B4"/>
    <w:rsid w:val="009322AB"/>
    <w:rsid w:val="009372DC"/>
    <w:rsid w:val="009467F1"/>
    <w:rsid w:val="00947391"/>
    <w:rsid w:val="00964586"/>
    <w:rsid w:val="00966530"/>
    <w:rsid w:val="00982214"/>
    <w:rsid w:val="0098400B"/>
    <w:rsid w:val="009C5149"/>
    <w:rsid w:val="009C58CE"/>
    <w:rsid w:val="009C6C40"/>
    <w:rsid w:val="00A0283E"/>
    <w:rsid w:val="00A06FE6"/>
    <w:rsid w:val="00A11C8D"/>
    <w:rsid w:val="00A12175"/>
    <w:rsid w:val="00A168C8"/>
    <w:rsid w:val="00A27C54"/>
    <w:rsid w:val="00A339BF"/>
    <w:rsid w:val="00A34218"/>
    <w:rsid w:val="00A41356"/>
    <w:rsid w:val="00A57E30"/>
    <w:rsid w:val="00A66325"/>
    <w:rsid w:val="00A67DAC"/>
    <w:rsid w:val="00A7589A"/>
    <w:rsid w:val="00A8423D"/>
    <w:rsid w:val="00A85120"/>
    <w:rsid w:val="00A87BE1"/>
    <w:rsid w:val="00A90532"/>
    <w:rsid w:val="00A94BCC"/>
    <w:rsid w:val="00AA1678"/>
    <w:rsid w:val="00AA459F"/>
    <w:rsid w:val="00AB23B1"/>
    <w:rsid w:val="00AB6448"/>
    <w:rsid w:val="00AB6588"/>
    <w:rsid w:val="00AC201A"/>
    <w:rsid w:val="00AC2D89"/>
    <w:rsid w:val="00AD30BE"/>
    <w:rsid w:val="00AD4843"/>
    <w:rsid w:val="00AD4AFA"/>
    <w:rsid w:val="00AE5B2D"/>
    <w:rsid w:val="00AE7297"/>
    <w:rsid w:val="00AF79E3"/>
    <w:rsid w:val="00B02FC9"/>
    <w:rsid w:val="00B1076B"/>
    <w:rsid w:val="00B15B14"/>
    <w:rsid w:val="00B65C8B"/>
    <w:rsid w:val="00B67061"/>
    <w:rsid w:val="00B67C76"/>
    <w:rsid w:val="00B755F2"/>
    <w:rsid w:val="00B75947"/>
    <w:rsid w:val="00B83602"/>
    <w:rsid w:val="00B841F9"/>
    <w:rsid w:val="00B8425D"/>
    <w:rsid w:val="00B93BEF"/>
    <w:rsid w:val="00BA0EDC"/>
    <w:rsid w:val="00BB3851"/>
    <w:rsid w:val="00BC08A9"/>
    <w:rsid w:val="00BC6320"/>
    <w:rsid w:val="00BD616F"/>
    <w:rsid w:val="00BE198D"/>
    <w:rsid w:val="00BE43AE"/>
    <w:rsid w:val="00BE5356"/>
    <w:rsid w:val="00BE6387"/>
    <w:rsid w:val="00BF44A8"/>
    <w:rsid w:val="00BF6D7E"/>
    <w:rsid w:val="00C00A03"/>
    <w:rsid w:val="00C2542E"/>
    <w:rsid w:val="00C55C16"/>
    <w:rsid w:val="00C71B7B"/>
    <w:rsid w:val="00C81660"/>
    <w:rsid w:val="00C81773"/>
    <w:rsid w:val="00C934E0"/>
    <w:rsid w:val="00CA2A5E"/>
    <w:rsid w:val="00CA6B4F"/>
    <w:rsid w:val="00CD49CC"/>
    <w:rsid w:val="00CE7C18"/>
    <w:rsid w:val="00CF06F8"/>
    <w:rsid w:val="00CF7EC1"/>
    <w:rsid w:val="00D07BA3"/>
    <w:rsid w:val="00D23372"/>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3C7F"/>
    <w:rsid w:val="00E2523E"/>
    <w:rsid w:val="00E35DCE"/>
    <w:rsid w:val="00E41475"/>
    <w:rsid w:val="00E62883"/>
    <w:rsid w:val="00E636E1"/>
    <w:rsid w:val="00E6388A"/>
    <w:rsid w:val="00E717E5"/>
    <w:rsid w:val="00E717F3"/>
    <w:rsid w:val="00E84230"/>
    <w:rsid w:val="00E87D06"/>
    <w:rsid w:val="00E90A43"/>
    <w:rsid w:val="00E9203C"/>
    <w:rsid w:val="00E93233"/>
    <w:rsid w:val="00E96F43"/>
    <w:rsid w:val="00EA6457"/>
    <w:rsid w:val="00EB0A41"/>
    <w:rsid w:val="00ED012D"/>
    <w:rsid w:val="00ED1ACA"/>
    <w:rsid w:val="00ED3EA0"/>
    <w:rsid w:val="00EE3490"/>
    <w:rsid w:val="00EE4060"/>
    <w:rsid w:val="00F11469"/>
    <w:rsid w:val="00F1350F"/>
    <w:rsid w:val="00F17FD4"/>
    <w:rsid w:val="00F206DA"/>
    <w:rsid w:val="00F26813"/>
    <w:rsid w:val="00F26F3E"/>
    <w:rsid w:val="00F43617"/>
    <w:rsid w:val="00F43778"/>
    <w:rsid w:val="00F47874"/>
    <w:rsid w:val="00F47B7C"/>
    <w:rsid w:val="00F47C9B"/>
    <w:rsid w:val="00F52BD1"/>
    <w:rsid w:val="00F67510"/>
    <w:rsid w:val="00F725B1"/>
    <w:rsid w:val="00F72ADF"/>
    <w:rsid w:val="00F76655"/>
    <w:rsid w:val="00F802DB"/>
    <w:rsid w:val="00F80CAE"/>
    <w:rsid w:val="00F8300B"/>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semiHidden/>
    <w:unhideWhenUsed/>
    <w:qFormat/>
    <w:rsid w:val="004E2E49"/>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semiHidden/>
    <w:unhideWhenUsed/>
    <w:qFormat/>
    <w:rsid w:val="004E2E4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ldflower.org/gallery/result.php?id_image=5665" TargetMode="External"/><Relationship Id="rId5" Type="http://schemas.openxmlformats.org/officeDocument/2006/relationships/settings" Target="settings.xml"/><Relationship Id="rId15" Type="http://schemas.openxmlformats.org/officeDocument/2006/relationships/hyperlink" Target="http://plants.usda.gov/"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H:\Loren's%20Folders\plantguides\PLANTS%20guides\template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Template>
  <TotalTime>467</TotalTime>
  <Pages>3</Pages>
  <Words>1647</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Plant Guide for thickleaf penstemon (Penstemon pachyphyllus)</vt:lpstr>
    </vt:vector>
  </TitlesOfParts>
  <Company>USDA NRCS National Plant Materials Center</Company>
  <LinksUpToDate>false</LinksUpToDate>
  <CharactersWithSpaces>11422</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thickleaf penstemon (Penstemon pachyphyllus)</dc:title>
  <dc:subject>thickleaf penstemon (Penstemon pachyphyllus) is a native forb used for livestock, wildlife, erosion control, pollinator habitat in the Intermountain West</dc:subject>
  <dc:creator>St John, Loren - NRCS, Aberdeen, ID</dc:creator>
  <cp:keywords>Thickleaf pesntemon, Penstemon pachyphyllus, native, for, wildlife, pollinators, erosion control, restoration</cp:keywords>
  <cp:lastModifiedBy>St John, Loren - NRCS, Aberdeen, ID</cp:lastModifiedBy>
  <cp:revision>52</cp:revision>
  <cp:lastPrinted>2010-08-20T19:27:00Z</cp:lastPrinted>
  <dcterms:created xsi:type="dcterms:W3CDTF">2013-09-11T21:28:00Z</dcterms:created>
  <dcterms:modified xsi:type="dcterms:W3CDTF">2013-10-25T17:42:00Z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