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617859" w:rsidP="00E9203C">
      <w:pPr>
        <w:pStyle w:val="Heading1"/>
      </w:pPr>
      <w:r>
        <w:t>Winkler’s pincushion cactus</w:t>
      </w:r>
    </w:p>
    <w:p w:rsidR="007048C5" w:rsidRPr="004A030A" w:rsidRDefault="00617859" w:rsidP="006A29CA">
      <w:pPr>
        <w:pStyle w:val="PlantSymbol"/>
        <w:rPr>
          <w:b/>
        </w:rPr>
      </w:pPr>
      <w:r>
        <w:rPr>
          <w:rStyle w:val="search1"/>
          <w:b/>
          <w:i/>
          <w:color w:val="auto"/>
          <w:sz w:val="32"/>
          <w:szCs w:val="32"/>
        </w:rPr>
        <w:t>Pediocactus winkleri</w:t>
      </w:r>
      <w:r w:rsidR="004A030A">
        <w:rPr>
          <w:rStyle w:val="search1"/>
          <w:b/>
          <w:color w:val="auto"/>
          <w:sz w:val="32"/>
          <w:szCs w:val="32"/>
        </w:rPr>
        <w:t xml:space="preserve"> </w:t>
      </w:r>
      <w:r w:rsidR="00124D04">
        <w:rPr>
          <w:rStyle w:val="search1"/>
          <w:b/>
          <w:color w:val="auto"/>
          <w:sz w:val="32"/>
          <w:szCs w:val="32"/>
        </w:rPr>
        <w:t>Barneby</w:t>
      </w:r>
    </w:p>
    <w:p w:rsidR="00614036" w:rsidRPr="00A90532" w:rsidRDefault="00614036" w:rsidP="006A29CA">
      <w:pPr>
        <w:pStyle w:val="PlantSymbol"/>
      </w:pPr>
      <w:r w:rsidRPr="00A90532">
        <w:t xml:space="preserve">Plant Symbol = </w:t>
      </w:r>
      <w:r w:rsidR="00617859">
        <w:t>PEWI2</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and Utah Plant Materials </w:t>
      </w:r>
      <w:r w:rsidR="007B51E8">
        <w:t>Program</w:t>
      </w:r>
    </w:p>
    <w:p w:rsidR="00354A89" w:rsidRPr="003D0BA9" w:rsidRDefault="00617859" w:rsidP="00C05DC0">
      <w:pPr>
        <w:pStyle w:val="CaptionNRCS"/>
      </w:pPr>
      <w:r>
        <w:rPr>
          <w:noProof/>
        </w:rPr>
        <w:drawing>
          <wp:inline distT="0" distB="0" distL="0" distR="0">
            <wp:extent cx="2743200" cy="1868034"/>
            <wp:effectExtent l="19050" t="0" r="0" b="0"/>
            <wp:docPr id="4" name="Picture 4" descr="photo of Winkler’s pincushion cactus (Pediocactus winkleri). Photo by E. Nee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wrcdc.nr.utah.gov/rsgis2/images/Photos/pediwink.jpg"/>
                    <pic:cNvPicPr>
                      <a:picLocks noChangeAspect="1" noChangeArrowheads="1"/>
                    </pic:cNvPicPr>
                  </pic:nvPicPr>
                  <pic:blipFill>
                    <a:blip r:embed="rId11" cstate="print">
                      <a:lum bright="16000" contrast="19000"/>
                    </a:blip>
                    <a:srcRect/>
                    <a:stretch>
                      <a:fillRect/>
                    </a:stretch>
                  </pic:blipFill>
                  <pic:spPr bwMode="auto">
                    <a:xfrm>
                      <a:off x="0" y="0"/>
                      <a:ext cx="2743200" cy="1868034"/>
                    </a:xfrm>
                    <a:prstGeom prst="rect">
                      <a:avLst/>
                    </a:prstGeom>
                    <a:noFill/>
                    <a:ln w="9525">
                      <a:noFill/>
                      <a:miter lim="800000"/>
                      <a:headEnd/>
                      <a:tailEnd/>
                    </a:ln>
                  </pic:spPr>
                </pic:pic>
              </a:graphicData>
            </a:graphic>
          </wp:inline>
        </w:drawing>
      </w:r>
      <w:r>
        <w:rPr>
          <w:b/>
          <w:i w:val="0"/>
        </w:rPr>
        <w:t>Winkler’s pincushion cactus</w:t>
      </w:r>
      <w:r w:rsidR="00C9447D">
        <w:rPr>
          <w:b/>
          <w:i w:val="0"/>
        </w:rPr>
        <w:t xml:space="preserve"> (</w:t>
      </w:r>
      <w:r>
        <w:rPr>
          <w:b/>
        </w:rPr>
        <w:t>Pediocactus winkleri</w:t>
      </w:r>
      <w:r w:rsidR="00C9447D">
        <w:rPr>
          <w:b/>
          <w:i w:val="0"/>
        </w:rPr>
        <w:t>)</w:t>
      </w:r>
      <w:r w:rsidR="00CE1AE8">
        <w:rPr>
          <w:b/>
          <w:i w:val="0"/>
        </w:rPr>
        <w:t xml:space="preserve">. </w:t>
      </w:r>
      <w:r w:rsidR="00A866BB">
        <w:rPr>
          <w:b/>
          <w:i w:val="0"/>
        </w:rPr>
        <w:t xml:space="preserve">Photo by </w:t>
      </w:r>
      <w:r>
        <w:rPr>
          <w:b/>
          <w:i w:val="0"/>
        </w:rPr>
        <w:t>E. Neese</w:t>
      </w:r>
      <w:r w:rsidR="00A866BB">
        <w:rPr>
          <w:b/>
          <w:i w:val="0"/>
        </w:rPr>
        <w:t xml:space="preserve"> </w:t>
      </w:r>
    </w:p>
    <w:p w:rsidR="00533904" w:rsidRDefault="00533904" w:rsidP="007866F3">
      <w:pPr>
        <w:pStyle w:val="Heading3"/>
      </w:pPr>
      <w:r>
        <w:t>Alternate Names</w:t>
      </w:r>
    </w:p>
    <w:p w:rsidR="00C9447D" w:rsidRPr="00124D04" w:rsidRDefault="00027E1E" w:rsidP="004A030A">
      <w:pPr>
        <w:jc w:val="left"/>
        <w:rPr>
          <w:sz w:val="20"/>
        </w:rPr>
      </w:pPr>
      <w:r>
        <w:rPr>
          <w:sz w:val="20"/>
        </w:rPr>
        <w:t>Winkler’s footcactus</w:t>
      </w:r>
    </w:p>
    <w:p w:rsidR="007048C5" w:rsidRPr="007048C5" w:rsidRDefault="007048C5" w:rsidP="007048C5">
      <w:pPr>
        <w:jc w:val="left"/>
        <w:rPr>
          <w:sz w:val="20"/>
        </w:rPr>
      </w:pPr>
    </w:p>
    <w:p w:rsidR="00CD49CC" w:rsidRDefault="00CD49CC" w:rsidP="00533904">
      <w:pPr>
        <w:pStyle w:val="Heading3"/>
        <w:spacing w:before="0"/>
      </w:pPr>
      <w:r w:rsidRPr="00A90532">
        <w:t>Uses</w:t>
      </w:r>
    </w:p>
    <w:p w:rsidR="003D0BA9" w:rsidRPr="007216FC" w:rsidRDefault="00617859" w:rsidP="003D0BA9">
      <w:pPr>
        <w:pStyle w:val="NRCSBodyText"/>
      </w:pPr>
      <w:bookmarkStart w:id="0" w:name="OLE_LINK1"/>
      <w:r>
        <w:t xml:space="preserve">There are no known human or wildlife uses for </w:t>
      </w:r>
      <w:r>
        <w:t xml:space="preserve">Winkler’s pincushion cactus. Plants are collected illegally by </w:t>
      </w:r>
      <w:r w:rsidR="00D458C7">
        <w:t>cactus</w:t>
      </w:r>
      <w:r w:rsidR="00D458C7">
        <w:t xml:space="preserve"> </w:t>
      </w:r>
      <w:r>
        <w:t>enthusiasts.</w:t>
      </w:r>
    </w:p>
    <w:p w:rsidR="007866F3" w:rsidRDefault="00CD49CC" w:rsidP="007866F3">
      <w:pPr>
        <w:pStyle w:val="Heading3"/>
      </w:pPr>
      <w:r w:rsidRPr="00A90532">
        <w:t>Status</w:t>
      </w:r>
    </w:p>
    <w:p w:rsidR="002A2FF5" w:rsidRDefault="00C11B71" w:rsidP="009372DC">
      <w:pPr>
        <w:pStyle w:val="BodytextNRCS"/>
      </w:pPr>
      <w:r>
        <w:t xml:space="preserve">Winkler’s pincushion cactus was listed as </w:t>
      </w:r>
      <w:r w:rsidR="00C930D0">
        <w:t>a threatened</w:t>
      </w:r>
      <w:r>
        <w:t xml:space="preserve"> </w:t>
      </w:r>
      <w:r w:rsidR="00C930D0">
        <w:t xml:space="preserve">species </w:t>
      </w:r>
      <w:r>
        <w:t>by the USDI Fish and Wildlife Service in 1998 (USDI-FWS</w:t>
      </w:r>
      <w:r w:rsidR="00D458C7">
        <w:t>, 1998</w:t>
      </w:r>
      <w:r>
        <w:t>).</w:t>
      </w:r>
      <w:r w:rsidR="00D52913">
        <w:t xml:space="preserve"> Monitoring data indicate that populations are in decline (USDI-FWS, 2007).</w:t>
      </w:r>
    </w:p>
    <w:p w:rsidR="00F1413B" w:rsidRDefault="00F1413B" w:rsidP="009372DC">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t>Description</w:t>
      </w:r>
    </w:p>
    <w:p w:rsidR="00B92AC0" w:rsidRDefault="002375B8" w:rsidP="001623EF">
      <w:pPr>
        <w:pStyle w:val="NRCSBodyText"/>
      </w:pPr>
      <w:r w:rsidRPr="002375B8">
        <w:rPr>
          <w:i/>
        </w:rPr>
        <w:t>General</w:t>
      </w:r>
      <w:r>
        <w:t>:</w:t>
      </w:r>
      <w:r w:rsidR="00721E96">
        <w:t xml:space="preserve"> </w:t>
      </w:r>
      <w:r w:rsidR="00C11B71">
        <w:t>Cactus</w:t>
      </w:r>
      <w:r w:rsidR="007408DD">
        <w:t xml:space="preserve"> family (</w:t>
      </w:r>
      <w:r w:rsidR="00C11B71">
        <w:t>Cactus</w:t>
      </w:r>
      <w:r w:rsidR="007408DD">
        <w:t>).</w:t>
      </w:r>
      <w:r w:rsidR="003B605D">
        <w:t xml:space="preserve"> </w:t>
      </w:r>
      <w:r w:rsidR="00027E1E">
        <w:t>Winkler’s pincushion cactus is a solitary or sometimes colonial, spherical or depressed-hemisp</w:t>
      </w:r>
      <w:r w:rsidR="00C930D0">
        <w:t xml:space="preserve">heric cactus growing 4 to 7 cm </w:t>
      </w:r>
      <w:r w:rsidR="00027E1E">
        <w:t>(</w:t>
      </w:r>
      <w:r w:rsidR="00C930D0">
        <w:t xml:space="preserve">1.6 to 2.8 </w:t>
      </w:r>
      <w:r w:rsidR="00027E1E">
        <w:t>in) tall and 3 to 5 cm (</w:t>
      </w:r>
      <w:r w:rsidR="00C930D0">
        <w:t xml:space="preserve">1.2 to 2.0 </w:t>
      </w:r>
      <w:r w:rsidR="00027E1E">
        <w:t>in) wide. The tubercles are 4 to 7 mm (</w:t>
      </w:r>
      <w:r w:rsidR="00C930D0">
        <w:t xml:space="preserve">0.16 to 0.28 </w:t>
      </w:r>
      <w:r w:rsidR="00027E1E">
        <w:t>in) long and 5 to 7 mm (</w:t>
      </w:r>
      <w:r w:rsidR="00C930D0">
        <w:t xml:space="preserve">0.20 to 0.28 </w:t>
      </w:r>
      <w:r w:rsidR="00027E1E">
        <w:t>in) wide.</w:t>
      </w:r>
      <w:r w:rsidR="00CC1CB2">
        <w:t xml:space="preserve"> The </w:t>
      </w:r>
    </w:p>
    <w:p w:rsidR="00B92AC0" w:rsidRDefault="00B92AC0" w:rsidP="001623EF">
      <w:pPr>
        <w:pStyle w:val="NRCSBodyText"/>
      </w:pPr>
    </w:p>
    <w:p w:rsidR="00776D43" w:rsidRDefault="00CC1CB2" w:rsidP="001623EF">
      <w:pPr>
        <w:pStyle w:val="NRCSBodyText"/>
      </w:pPr>
      <w:r>
        <w:t xml:space="preserve">areoles are white-wooly with no central spine. There are 8 to 14 white radial spines, 1.5 to 4 mm </w:t>
      </w:r>
      <w:r w:rsidR="00B92AC0">
        <w:t xml:space="preserve">(0.06 to 0.16 in) </w:t>
      </w:r>
      <w:r>
        <w:t xml:space="preserve">long. The flowers are peach to pink with petals and sepals looking similar. The fruit is a smooth green oval-shaped berry drying reddish brown, 7 to 10 mm </w:t>
      </w:r>
      <w:r w:rsidR="00B92AC0">
        <w:t xml:space="preserve">(0.28 to 0.39 in) </w:t>
      </w:r>
      <w:r>
        <w:t>long and 8 to 11 mm (</w:t>
      </w:r>
      <w:r w:rsidR="00B92AC0">
        <w:t xml:space="preserve">0.31 to 0.43 </w:t>
      </w:r>
      <w:r>
        <w:t>in) wide. The seeds are 2.5 to 3 mm (</w:t>
      </w:r>
      <w:r w:rsidR="00B92AC0">
        <w:t xml:space="preserve">0.10 to 0.12 </w:t>
      </w:r>
      <w:r>
        <w:t>in) long and shiny black (Welsh et al., 2003).</w:t>
      </w:r>
    </w:p>
    <w:p w:rsidR="00A866BB" w:rsidRDefault="00A866BB" w:rsidP="001623EF">
      <w:pPr>
        <w:pStyle w:val="NRCSBodyText"/>
      </w:pPr>
    </w:p>
    <w:p w:rsidR="00CC1CB2" w:rsidRDefault="00CC1CB2" w:rsidP="001623EF">
      <w:pPr>
        <w:pStyle w:val="NRCSBodyText"/>
      </w:pPr>
      <w:r>
        <w:t xml:space="preserve">In </w:t>
      </w:r>
      <w:r>
        <w:t>1995, Hochstatter proposed that Winkler’s pincushion cactus and San Rafael cactus (</w:t>
      </w:r>
      <w:r w:rsidRPr="00CC1CB2">
        <w:rPr>
          <w:i/>
        </w:rPr>
        <w:t>P</w:t>
      </w:r>
      <w:r>
        <w:t xml:space="preserve">. </w:t>
      </w:r>
      <w:proofErr w:type="spellStart"/>
      <w:r w:rsidRPr="00CC1CB2">
        <w:rPr>
          <w:i/>
        </w:rPr>
        <w:t>despainii</w:t>
      </w:r>
      <w:proofErr w:type="spellEnd"/>
      <w:r>
        <w:t>) be considered subspecies of Brady’s pincushion cactus (</w:t>
      </w:r>
      <w:r w:rsidRPr="00CC1CB2">
        <w:rPr>
          <w:i/>
        </w:rPr>
        <w:t>P. bradyi</w:t>
      </w:r>
      <w:r>
        <w:t>), a federally listed</w:t>
      </w:r>
      <w:r w:rsidR="00BC6C4D">
        <w:t xml:space="preserve"> species from northern Arizona</w:t>
      </w:r>
      <w:r>
        <w:t xml:space="preserve">. However; </w:t>
      </w:r>
      <w:r w:rsidR="00C930D0">
        <w:t xml:space="preserve">Heil and </w:t>
      </w:r>
      <w:r>
        <w:t xml:space="preserve">Porter (2004) showed </w:t>
      </w:r>
      <w:r w:rsidR="00B92AC0">
        <w:t>th</w:t>
      </w:r>
      <w:r w:rsidR="00B92AC0">
        <w:t xml:space="preserve">rough DNA analysis </w:t>
      </w:r>
      <w:r>
        <w:t xml:space="preserve">that </w:t>
      </w:r>
      <w:r w:rsidRPr="00CC1CB2">
        <w:rPr>
          <w:i/>
        </w:rPr>
        <w:t>P</w:t>
      </w:r>
      <w:r>
        <w:t xml:space="preserve">. </w:t>
      </w:r>
      <w:r w:rsidRPr="00CC1CB2">
        <w:rPr>
          <w:i/>
        </w:rPr>
        <w:t xml:space="preserve">winkleri </w:t>
      </w:r>
      <w:r>
        <w:t xml:space="preserve">and </w:t>
      </w:r>
      <w:r w:rsidRPr="00CC1CB2">
        <w:rPr>
          <w:i/>
        </w:rPr>
        <w:t xml:space="preserve">P. </w:t>
      </w:r>
      <w:proofErr w:type="spellStart"/>
      <w:r w:rsidRPr="00CC1CB2">
        <w:rPr>
          <w:i/>
        </w:rPr>
        <w:t>despainii</w:t>
      </w:r>
      <w:proofErr w:type="spellEnd"/>
      <w:r w:rsidRPr="00CC1CB2">
        <w:rPr>
          <w:i/>
        </w:rPr>
        <w:t xml:space="preserve"> </w:t>
      </w:r>
      <w:r>
        <w:t xml:space="preserve">were </w:t>
      </w:r>
      <w:r>
        <w:t xml:space="preserve">more </w:t>
      </w:r>
      <w:r>
        <w:t xml:space="preserve">closely allied to, but distinct </w:t>
      </w:r>
      <w:r w:rsidR="004249D6">
        <w:t xml:space="preserve">species </w:t>
      </w:r>
      <w:r>
        <w:t>from mountain ball cactus (</w:t>
      </w:r>
      <w:r w:rsidRPr="00CC1CB2">
        <w:rPr>
          <w:i/>
        </w:rPr>
        <w:t>P. simpsonii</w:t>
      </w:r>
      <w:r>
        <w:t>).</w:t>
      </w:r>
    </w:p>
    <w:p w:rsidR="00CC1CB2" w:rsidRPr="00A866BB" w:rsidRDefault="00CC1CB2" w:rsidP="001623EF">
      <w:pPr>
        <w:pStyle w:val="NRCSBodyText"/>
      </w:pPr>
    </w:p>
    <w:p w:rsidR="00FD272A" w:rsidRPr="00964586" w:rsidRDefault="002375B8" w:rsidP="001623EF">
      <w:pPr>
        <w:pStyle w:val="NRCSBodyText"/>
      </w:pPr>
      <w:r w:rsidRPr="002375B8">
        <w:rPr>
          <w:i/>
        </w:rPr>
        <w:t>Distribution</w:t>
      </w:r>
      <w:r>
        <w:t>:</w:t>
      </w:r>
    </w:p>
    <w:p w:rsidR="001562A9" w:rsidRDefault="00D52913" w:rsidP="00432A8C">
      <w:pPr>
        <w:pStyle w:val="NRCSBodyText"/>
      </w:pPr>
      <w:r>
        <w:t xml:space="preserve">There are four known populations of Winkler’s pincushion cactus located </w:t>
      </w:r>
      <w:r w:rsidR="004249D6">
        <w:t>in</w:t>
      </w:r>
      <w:r>
        <w:t xml:space="preserve"> north central Wayne County, Utah on the eastern boundary of Capitol Reef National Park to extreme southwest Emery County, Utah. </w:t>
      </w:r>
      <w:r w:rsidR="00CC1CB2">
        <w:t>There are approximately 4,500 documented individuals of Winkler’s pincushion cactus in known populations and an additional 20,000 individuals estimated in unsurveyed available habitat (</w:t>
      </w:r>
      <w:r>
        <w:t>USDI-FWS, 2007</w:t>
      </w:r>
      <w:r w:rsidR="00CC1CB2">
        <w:t>)</w:t>
      </w:r>
      <w:r>
        <w:t>. The majority of Winkler’s pincushion cactus habitat is located on Federal lands managed by USDI-BLM and USDI-NPS.</w:t>
      </w:r>
    </w:p>
    <w:p w:rsidR="001562A9" w:rsidRDefault="001562A9"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1907CC" w:rsidRDefault="00D52913" w:rsidP="007216FC">
      <w:pPr>
        <w:pStyle w:val="NRCSBodyText"/>
      </w:pPr>
      <w:r>
        <w:t xml:space="preserve">Winkler’s pincushion cactus occurs in the </w:t>
      </w:r>
      <w:r w:rsidR="00B170AA">
        <w:t>g</w:t>
      </w:r>
      <w:r>
        <w:t xml:space="preserve">alleta-three awn shrub steppe and salt desert shrub plant communities </w:t>
      </w:r>
      <w:r w:rsidR="00B170AA">
        <w:t>in association with saltbush (</w:t>
      </w:r>
      <w:r w:rsidR="00B170AA" w:rsidRPr="00B170AA">
        <w:rPr>
          <w:i/>
        </w:rPr>
        <w:t>Atriplex</w:t>
      </w:r>
      <w:r w:rsidR="00B170AA">
        <w:t xml:space="preserve"> spp.) galleta (</w:t>
      </w:r>
      <w:r w:rsidR="00B170AA" w:rsidRPr="00B170AA">
        <w:rPr>
          <w:i/>
        </w:rPr>
        <w:t>Hilaria</w:t>
      </w:r>
      <w:r w:rsidR="00B170AA">
        <w:t xml:space="preserve"> sp.) and purple three awn (</w:t>
      </w:r>
      <w:r w:rsidR="00B170AA" w:rsidRPr="00B170AA">
        <w:rPr>
          <w:i/>
        </w:rPr>
        <w:t>Aristida purpurea</w:t>
      </w:r>
      <w:r w:rsidR="00B170AA">
        <w:t xml:space="preserve">) </w:t>
      </w:r>
      <w:r>
        <w:t>(USDI-FWS, 2007).</w:t>
      </w:r>
    </w:p>
    <w:p w:rsidR="00432A8C" w:rsidRDefault="00432A8C" w:rsidP="007216FC">
      <w:pPr>
        <w:pStyle w:val="NRCSBodyText"/>
      </w:pPr>
    </w:p>
    <w:p w:rsidR="00432A8C" w:rsidRPr="00432A8C" w:rsidRDefault="00432A8C" w:rsidP="007216FC">
      <w:pPr>
        <w:pStyle w:val="NRCSBodyText"/>
        <w:rPr>
          <w:b/>
        </w:rPr>
      </w:pPr>
      <w:r w:rsidRPr="00432A8C">
        <w:rPr>
          <w:b/>
        </w:rPr>
        <w:t>Adaptation</w:t>
      </w:r>
    </w:p>
    <w:p w:rsidR="0085184F" w:rsidRDefault="00D52913" w:rsidP="007216FC">
      <w:pPr>
        <w:pStyle w:val="NRCSBodyText"/>
      </w:pPr>
      <w:r>
        <w:t>This species is adapted to poor quality, saline, fine-textured substrates of the Dakota, Mancos and Morrison Formations from 1,460 to 1,590 m (</w:t>
      </w:r>
      <w:r w:rsidR="00B92AC0">
        <w:t xml:space="preserve">4,790 to 5,220 </w:t>
      </w:r>
      <w:r>
        <w:t>ft) (Welsh et al., 2003). Average annual precipitation for the area is 15 to 25 cm (6 to 10 in) (USDI-FWS, 2007).</w:t>
      </w:r>
    </w:p>
    <w:p w:rsidR="00D52913" w:rsidRDefault="00D52913" w:rsidP="007216FC">
      <w:pPr>
        <w:pStyle w:val="NRCSBodyText"/>
      </w:pPr>
    </w:p>
    <w:p w:rsidR="00B92AC0" w:rsidRDefault="00B92AC0" w:rsidP="007216FC">
      <w:pPr>
        <w:pStyle w:val="NRCSBodyText"/>
      </w:pPr>
    </w:p>
    <w:p w:rsidR="00721B7E" w:rsidRPr="004948CB" w:rsidRDefault="00CD49CC" w:rsidP="0042626B">
      <w:pPr>
        <w:pStyle w:val="Heading3"/>
        <w:spacing w:before="0"/>
      </w:pPr>
      <w:r w:rsidRPr="004948CB">
        <w:lastRenderedPageBreak/>
        <w:t>Management</w:t>
      </w:r>
    </w:p>
    <w:p w:rsidR="009458AD" w:rsidRDefault="00BC6C4D" w:rsidP="009458AD">
      <w:pPr>
        <w:jc w:val="left"/>
        <w:rPr>
          <w:sz w:val="20"/>
        </w:rPr>
      </w:pPr>
      <w:r>
        <w:rPr>
          <w:sz w:val="20"/>
        </w:rPr>
        <w:t xml:space="preserve">Threats to Winkler’s pincushion cactus include illegal plant collecting, off road vehicle (ORV) </w:t>
      </w:r>
      <w:r w:rsidR="00D458C7">
        <w:rPr>
          <w:sz w:val="20"/>
        </w:rPr>
        <w:t xml:space="preserve">use </w:t>
      </w:r>
      <w:r>
        <w:rPr>
          <w:sz w:val="20"/>
        </w:rPr>
        <w:t>and livestock trampling, mineral exploration, insect infestations, and climate change (USDI-FWS, 2007). Conservation measures for this species include mitigating the effects of human land use activities on known populations, and preventing the illegal collection of plants from natural populations. Further work surveying suitable habitat and determining biological and ecological factors for the species distribution are also indicated (USDI-FWS, 2007).</w:t>
      </w:r>
    </w:p>
    <w:p w:rsidR="000C52BC" w:rsidRDefault="000C52BC" w:rsidP="00786959">
      <w:pPr>
        <w:jc w:val="left"/>
        <w:rPr>
          <w:sz w:val="20"/>
        </w:rPr>
      </w:pPr>
    </w:p>
    <w:p w:rsidR="00721B7E" w:rsidRDefault="00CD49CC" w:rsidP="00786959">
      <w:pPr>
        <w:pStyle w:val="Heading3"/>
        <w:spacing w:before="0"/>
      </w:pPr>
      <w:r w:rsidRPr="00A90532">
        <w:t>Pests and Potential Problems</w:t>
      </w:r>
    </w:p>
    <w:p w:rsidR="000C72AD" w:rsidRPr="004948CB" w:rsidRDefault="00B170AA" w:rsidP="000C72AD">
      <w:pPr>
        <w:pStyle w:val="Heading3"/>
        <w:spacing w:before="0"/>
        <w:rPr>
          <w:b w:val="0"/>
        </w:rPr>
      </w:pPr>
      <w:r>
        <w:rPr>
          <w:b w:val="0"/>
        </w:rPr>
        <w:t xml:space="preserve">Winkler’s pincushion is known to be </w:t>
      </w:r>
      <w:r w:rsidR="00B92AC0">
        <w:rPr>
          <w:b w:val="0"/>
        </w:rPr>
        <w:t>susceptible</w:t>
      </w:r>
      <w:r>
        <w:rPr>
          <w:b w:val="0"/>
        </w:rPr>
        <w:t xml:space="preserve"> to infestations of insect larvae including the cactus borer beetle (</w:t>
      </w:r>
      <w:r w:rsidRPr="00BC6C4D">
        <w:rPr>
          <w:b w:val="0"/>
          <w:i/>
        </w:rPr>
        <w:t>Moneilema semipunctatum</w:t>
      </w:r>
      <w:r>
        <w:rPr>
          <w:b w:val="0"/>
        </w:rPr>
        <w:t>)</w:t>
      </w:r>
      <w:r w:rsidR="00BC6C4D">
        <w:rPr>
          <w:b w:val="0"/>
        </w:rPr>
        <w:t xml:space="preserve"> (USDI-FWS, 2007).</w:t>
      </w:r>
    </w:p>
    <w:p w:rsidR="004948CB" w:rsidRPr="004948CB" w:rsidRDefault="004948CB" w:rsidP="004948CB">
      <w:pPr>
        <w:jc w:val="left"/>
        <w:rPr>
          <w:sz w:val="20"/>
        </w:rPr>
      </w:pPr>
    </w:p>
    <w:p w:rsidR="00CD49CC" w:rsidRPr="00721B7E" w:rsidRDefault="00CD49CC" w:rsidP="004948CB">
      <w:pPr>
        <w:pStyle w:val="Heading3"/>
        <w:spacing w:before="0"/>
      </w:pPr>
      <w:r w:rsidRPr="00721B7E">
        <w:t>Environmental Concerns</w:t>
      </w:r>
    </w:p>
    <w:p w:rsidR="004948CB" w:rsidRPr="004948CB" w:rsidRDefault="004948CB" w:rsidP="004948CB">
      <w:pPr>
        <w:pStyle w:val="Heading3"/>
        <w:spacing w:before="0"/>
        <w:rPr>
          <w:b w:val="0"/>
        </w:rPr>
      </w:pPr>
      <w:r w:rsidRPr="004948CB">
        <w:rPr>
          <w:b w:val="0"/>
        </w:rPr>
        <w:t xml:space="preserve">There are no known </w:t>
      </w:r>
      <w:r w:rsidR="00141242">
        <w:rPr>
          <w:b w:val="0"/>
        </w:rPr>
        <w:t>environmental concerns</w:t>
      </w:r>
      <w:r w:rsidRPr="004948CB">
        <w:rPr>
          <w:b w:val="0"/>
        </w:rPr>
        <w:t xml:space="preserve"> associated with </w:t>
      </w:r>
      <w:r w:rsidR="00C06DD0">
        <w:rPr>
          <w:b w:val="0"/>
        </w:rPr>
        <w:t>Holmgren</w:t>
      </w:r>
      <w:r w:rsidR="00207755">
        <w:rPr>
          <w:b w:val="0"/>
        </w:rPr>
        <w:t xml:space="preserve"> milkvetch</w:t>
      </w:r>
      <w:r w:rsidRPr="004948CB">
        <w:rPr>
          <w:b w:val="0"/>
        </w:rPr>
        <w:t>.</w:t>
      </w:r>
    </w:p>
    <w:p w:rsidR="007048C5" w:rsidRPr="004948CB" w:rsidRDefault="007048C5" w:rsidP="004948CB">
      <w:pPr>
        <w:pStyle w:val="Heading3"/>
        <w:spacing w:before="0"/>
        <w:rPr>
          <w:b w:val="0"/>
        </w:rPr>
      </w:pPr>
    </w:p>
    <w:p w:rsidR="00721B7E" w:rsidRDefault="002375B8" w:rsidP="00721B7E">
      <w:pPr>
        <w:pStyle w:val="Heading3"/>
      </w:pPr>
      <w:r w:rsidRPr="00A90532">
        <w:t>Seed and Plant Production</w:t>
      </w:r>
    </w:p>
    <w:p w:rsidR="007048C5" w:rsidRPr="00617859" w:rsidRDefault="00617859" w:rsidP="007048C5">
      <w:pPr>
        <w:jc w:val="left"/>
        <w:rPr>
          <w:sz w:val="20"/>
        </w:rPr>
      </w:pPr>
      <w:r>
        <w:rPr>
          <w:sz w:val="20"/>
        </w:rPr>
        <w:t xml:space="preserve">Cuttings of Winkler’s pincushion cactus were successfully </w:t>
      </w:r>
      <w:r w:rsidR="00A01D60" w:rsidRPr="00617859">
        <w:rPr>
          <w:sz w:val="20"/>
        </w:rPr>
        <w:t>rooted spontaneously on hormone-free media</w:t>
      </w:r>
      <w:r w:rsidR="00BC6C4D">
        <w:rPr>
          <w:sz w:val="20"/>
        </w:rPr>
        <w:t xml:space="preserve"> and were subsequently</w:t>
      </w:r>
      <w:r w:rsidR="00A01D60" w:rsidRPr="00617859">
        <w:rPr>
          <w:sz w:val="20"/>
        </w:rPr>
        <w:t xml:space="preserve"> re-established in the greenhouse</w:t>
      </w:r>
      <w:r w:rsidRPr="00617859">
        <w:rPr>
          <w:sz w:val="20"/>
        </w:rPr>
        <w:t xml:space="preserve"> (Clayton et al., 1990).</w:t>
      </w:r>
    </w:p>
    <w:p w:rsidR="00A01D60" w:rsidRPr="00617859" w:rsidRDefault="00A01D60" w:rsidP="007048C5">
      <w:pPr>
        <w:jc w:val="left"/>
        <w:rPr>
          <w:sz w:val="20"/>
        </w:rPr>
      </w:pPr>
    </w:p>
    <w:p w:rsidR="002375B8" w:rsidRPr="00A90532" w:rsidRDefault="002375B8" w:rsidP="007048C5">
      <w:pPr>
        <w:pStyle w:val="Heading3"/>
        <w:spacing w:before="0"/>
        <w:rPr>
          <w:i/>
          <w:iCs/>
        </w:rPr>
      </w:pPr>
      <w:r w:rsidRPr="00A90532">
        <w:t>References</w:t>
      </w:r>
    </w:p>
    <w:p w:rsidR="00B170AA" w:rsidRPr="00C930D0" w:rsidRDefault="00B170AA" w:rsidP="00C930D0">
      <w:pPr>
        <w:ind w:left="360" w:hanging="360"/>
        <w:jc w:val="left"/>
        <w:rPr>
          <w:sz w:val="20"/>
        </w:rPr>
      </w:pPr>
      <w:r w:rsidRPr="00C930D0">
        <w:rPr>
          <w:sz w:val="20"/>
        </w:rPr>
        <w:t>Clayton</w:t>
      </w:r>
      <w:r w:rsidR="00C930D0" w:rsidRPr="00C930D0">
        <w:rPr>
          <w:sz w:val="20"/>
        </w:rPr>
        <w:t xml:space="preserve">, P.W., Hubstenberger, J.F., Phillips, G.C. and S.A. Butler-Nance. 1990. </w:t>
      </w:r>
      <w:r w:rsidR="00C930D0" w:rsidRPr="00C930D0">
        <w:rPr>
          <w:bCs/>
          <w:sz w:val="20"/>
        </w:rPr>
        <w:t>Micropropagation of members of the Cactaceae subtribe cactinae</w:t>
      </w:r>
      <w:r w:rsidR="00C930D0">
        <w:rPr>
          <w:bCs/>
          <w:sz w:val="20"/>
        </w:rPr>
        <w:t xml:space="preserve">. Journal of the American Society for Horticultural </w:t>
      </w:r>
      <w:r w:rsidR="00C930D0" w:rsidRPr="00C930D0">
        <w:rPr>
          <w:bCs/>
          <w:sz w:val="20"/>
        </w:rPr>
        <w:t>Science. 115(2): 337-343.</w:t>
      </w:r>
    </w:p>
    <w:p w:rsidR="00C930D0" w:rsidRPr="00C930D0" w:rsidRDefault="00C930D0" w:rsidP="00C930D0">
      <w:pPr>
        <w:ind w:left="360" w:hanging="360"/>
        <w:jc w:val="left"/>
        <w:rPr>
          <w:color w:val="000000"/>
          <w:sz w:val="20"/>
        </w:rPr>
      </w:pPr>
      <w:r w:rsidRPr="00C930D0">
        <w:rPr>
          <w:color w:val="000000"/>
          <w:sz w:val="20"/>
        </w:rPr>
        <w:t xml:space="preserve">Heil, K.D., and J.M. Porter. 2004. </w:t>
      </w:r>
      <w:r w:rsidRPr="00C930D0">
        <w:rPr>
          <w:i/>
          <w:color w:val="000000"/>
          <w:sz w:val="20"/>
        </w:rPr>
        <w:t>Pediocactus</w:t>
      </w:r>
      <w:r w:rsidRPr="00C930D0">
        <w:rPr>
          <w:color w:val="000000"/>
          <w:sz w:val="20"/>
        </w:rPr>
        <w:t xml:space="preserve"> in: Flora of North America, north of Mexico Volume 4, Magnoliophyta: Caryophyllidae, part </w:t>
      </w:r>
      <w:r w:rsidRPr="00C930D0">
        <w:rPr>
          <w:color w:val="000000"/>
          <w:sz w:val="20"/>
        </w:rPr>
        <w:lastRenderedPageBreak/>
        <w:t>1. Edited by: Flora of North America Editorial Committee. Oxford University Press. New York. Pp. 197-207.</w:t>
      </w:r>
    </w:p>
    <w:p w:rsidR="00A6556B" w:rsidRDefault="00A6556B" w:rsidP="00A6556B">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073FF4" w:rsidRPr="00222F37" w:rsidRDefault="00073FF4" w:rsidP="00A6556B">
      <w:pPr>
        <w:pStyle w:val="Header3"/>
        <w:keepNext w:val="0"/>
        <w:ind w:left="360" w:hanging="360"/>
        <w:rPr>
          <w:b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A06EEC">
        <w:rPr>
          <w:sz w:val="20"/>
        </w:rPr>
        <w:t xml:space="preserve">L. </w:t>
      </w:r>
      <w:r w:rsidR="009458AD">
        <w:rPr>
          <w:sz w:val="20"/>
        </w:rPr>
        <w:t>St. John and D. Ogle. 2011</w:t>
      </w:r>
      <w:r>
        <w:rPr>
          <w:sz w:val="20"/>
        </w:rPr>
        <w:t xml:space="preserve">. Plant guide for </w:t>
      </w:r>
      <w:r w:rsidR="00617859">
        <w:rPr>
          <w:sz w:val="20"/>
        </w:rPr>
        <w:t>Winkler’s pincushion cactus</w:t>
      </w:r>
      <w:r>
        <w:rPr>
          <w:sz w:val="20"/>
        </w:rPr>
        <w:t xml:space="preserve"> (</w:t>
      </w:r>
      <w:r w:rsidR="00617859">
        <w:rPr>
          <w:i/>
          <w:sz w:val="20"/>
        </w:rPr>
        <w:t>Pediocactus winkleri</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7048C5">
        <w:t>Jan 2011</w:t>
      </w:r>
    </w:p>
    <w:p w:rsidR="00CD49CC" w:rsidRPr="000E3166" w:rsidRDefault="002375B8" w:rsidP="00DE7F41">
      <w:pPr>
        <w:pStyle w:val="BodytextNRCS"/>
        <w:spacing w:before="120"/>
      </w:pPr>
      <w:r w:rsidRPr="000E3166">
        <w:t xml:space="preserve">Edited: </w:t>
      </w:r>
      <w:r w:rsidR="00617859">
        <w:t>12</w:t>
      </w:r>
      <w:r w:rsidR="00C05DC0">
        <w:t>Jan201</w:t>
      </w:r>
      <w:r w:rsidR="00617859">
        <w:t>1</w:t>
      </w:r>
      <w:r w:rsidR="00C05DC0">
        <w:t>djt</w:t>
      </w:r>
      <w:r w:rsidR="007048C5">
        <w:t>,</w:t>
      </w:r>
      <w:r w:rsidR="004249D6">
        <w:t xml:space="preserve"> 13jan2011dgo; </w:t>
      </w:r>
      <w:r w:rsidR="00D458C7">
        <w:t>13jan2011ls</w:t>
      </w:r>
      <w:r w:rsidR="009A54D9">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2"/>
          <w:footerReference w:type="default" r:id="rId13"/>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D9D" w:rsidRDefault="004B5D9D">
      <w:r>
        <w:separator/>
      </w:r>
    </w:p>
  </w:endnote>
  <w:endnote w:type="continuationSeparator" w:id="0">
    <w:p w:rsidR="004B5D9D" w:rsidRDefault="004B5D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0D0" w:rsidRPr="001F7210" w:rsidRDefault="00C930D0"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0D0" w:rsidRDefault="00C930D0"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D9D" w:rsidRDefault="004B5D9D">
      <w:r>
        <w:separator/>
      </w:r>
    </w:p>
  </w:footnote>
  <w:footnote w:type="continuationSeparator" w:id="0">
    <w:p w:rsidR="004B5D9D" w:rsidRDefault="004B5D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0D0" w:rsidRPr="003749B3" w:rsidRDefault="00C930D0"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0137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44CEF"/>
    <w:rsid w:val="000578C2"/>
    <w:rsid w:val="000607FF"/>
    <w:rsid w:val="00061FD0"/>
    <w:rsid w:val="00063E29"/>
    <w:rsid w:val="000654A8"/>
    <w:rsid w:val="00067CC7"/>
    <w:rsid w:val="00073FF4"/>
    <w:rsid w:val="00076424"/>
    <w:rsid w:val="000867C9"/>
    <w:rsid w:val="00095E67"/>
    <w:rsid w:val="00097A9D"/>
    <w:rsid w:val="000A1774"/>
    <w:rsid w:val="000A69A1"/>
    <w:rsid w:val="000C04E7"/>
    <w:rsid w:val="000C52BC"/>
    <w:rsid w:val="000C72AD"/>
    <w:rsid w:val="000D3A30"/>
    <w:rsid w:val="000E3166"/>
    <w:rsid w:val="000E35A0"/>
    <w:rsid w:val="000F1970"/>
    <w:rsid w:val="000F443B"/>
    <w:rsid w:val="000F4C63"/>
    <w:rsid w:val="00124D04"/>
    <w:rsid w:val="00135DCA"/>
    <w:rsid w:val="00141242"/>
    <w:rsid w:val="00143135"/>
    <w:rsid w:val="001478F1"/>
    <w:rsid w:val="00152FA0"/>
    <w:rsid w:val="001562A9"/>
    <w:rsid w:val="001623EF"/>
    <w:rsid w:val="00173092"/>
    <w:rsid w:val="0017341F"/>
    <w:rsid w:val="001851CC"/>
    <w:rsid w:val="00186361"/>
    <w:rsid w:val="001907CC"/>
    <w:rsid w:val="001B0207"/>
    <w:rsid w:val="001B6C75"/>
    <w:rsid w:val="001B7645"/>
    <w:rsid w:val="001C4209"/>
    <w:rsid w:val="001D074C"/>
    <w:rsid w:val="001D3988"/>
    <w:rsid w:val="001D6A53"/>
    <w:rsid w:val="001E5DEE"/>
    <w:rsid w:val="001F6B39"/>
    <w:rsid w:val="001F7210"/>
    <w:rsid w:val="002073CB"/>
    <w:rsid w:val="00207755"/>
    <w:rsid w:val="002127B5"/>
    <w:rsid w:val="002148DF"/>
    <w:rsid w:val="00222F37"/>
    <w:rsid w:val="00226C58"/>
    <w:rsid w:val="00232453"/>
    <w:rsid w:val="002375B8"/>
    <w:rsid w:val="00237B9D"/>
    <w:rsid w:val="0026727E"/>
    <w:rsid w:val="00272129"/>
    <w:rsid w:val="00280D6D"/>
    <w:rsid w:val="00280F13"/>
    <w:rsid w:val="0028760D"/>
    <w:rsid w:val="00293979"/>
    <w:rsid w:val="0029707F"/>
    <w:rsid w:val="002A2FF5"/>
    <w:rsid w:val="002B4D04"/>
    <w:rsid w:val="002B5C39"/>
    <w:rsid w:val="002C2348"/>
    <w:rsid w:val="002C3B5E"/>
    <w:rsid w:val="002C45BA"/>
    <w:rsid w:val="002E6B0C"/>
    <w:rsid w:val="002F7056"/>
    <w:rsid w:val="00302C9A"/>
    <w:rsid w:val="00303E25"/>
    <w:rsid w:val="00307324"/>
    <w:rsid w:val="0031050C"/>
    <w:rsid w:val="00313599"/>
    <w:rsid w:val="0032662A"/>
    <w:rsid w:val="00341F59"/>
    <w:rsid w:val="00354A89"/>
    <w:rsid w:val="0036701D"/>
    <w:rsid w:val="003749B3"/>
    <w:rsid w:val="003759E1"/>
    <w:rsid w:val="00376137"/>
    <w:rsid w:val="00377934"/>
    <w:rsid w:val="00380D17"/>
    <w:rsid w:val="00387902"/>
    <w:rsid w:val="00391410"/>
    <w:rsid w:val="00395D33"/>
    <w:rsid w:val="003A5407"/>
    <w:rsid w:val="003B605D"/>
    <w:rsid w:val="003C6BC8"/>
    <w:rsid w:val="003D0BA9"/>
    <w:rsid w:val="003D55DC"/>
    <w:rsid w:val="003D61D1"/>
    <w:rsid w:val="003E1E4D"/>
    <w:rsid w:val="003E66FA"/>
    <w:rsid w:val="003F78AB"/>
    <w:rsid w:val="004011BB"/>
    <w:rsid w:val="004016C9"/>
    <w:rsid w:val="004032F8"/>
    <w:rsid w:val="00404192"/>
    <w:rsid w:val="00405131"/>
    <w:rsid w:val="004052E3"/>
    <w:rsid w:val="00415CA3"/>
    <w:rsid w:val="00416D52"/>
    <w:rsid w:val="004249D6"/>
    <w:rsid w:val="0042626B"/>
    <w:rsid w:val="00432A8C"/>
    <w:rsid w:val="004340C9"/>
    <w:rsid w:val="004364E5"/>
    <w:rsid w:val="00437F11"/>
    <w:rsid w:val="00441EB6"/>
    <w:rsid w:val="0044320D"/>
    <w:rsid w:val="00443C68"/>
    <w:rsid w:val="00445D91"/>
    <w:rsid w:val="0044715E"/>
    <w:rsid w:val="004500D1"/>
    <w:rsid w:val="0046432F"/>
    <w:rsid w:val="004678CE"/>
    <w:rsid w:val="0048212B"/>
    <w:rsid w:val="00485D14"/>
    <w:rsid w:val="00486806"/>
    <w:rsid w:val="004948CB"/>
    <w:rsid w:val="004A030A"/>
    <w:rsid w:val="004A249A"/>
    <w:rsid w:val="004A3095"/>
    <w:rsid w:val="004A48CC"/>
    <w:rsid w:val="004A50AC"/>
    <w:rsid w:val="004B5D9D"/>
    <w:rsid w:val="004C018A"/>
    <w:rsid w:val="004E2BD6"/>
    <w:rsid w:val="004E4F33"/>
    <w:rsid w:val="004F1C43"/>
    <w:rsid w:val="004F2702"/>
    <w:rsid w:val="004F75FB"/>
    <w:rsid w:val="004F78CE"/>
    <w:rsid w:val="005043DF"/>
    <w:rsid w:val="005124C2"/>
    <w:rsid w:val="00514C1D"/>
    <w:rsid w:val="00520FAC"/>
    <w:rsid w:val="00533904"/>
    <w:rsid w:val="005371C0"/>
    <w:rsid w:val="00552FC3"/>
    <w:rsid w:val="00564F15"/>
    <w:rsid w:val="00592CFA"/>
    <w:rsid w:val="00596E87"/>
    <w:rsid w:val="005A1746"/>
    <w:rsid w:val="005A2740"/>
    <w:rsid w:val="005D512C"/>
    <w:rsid w:val="005E5918"/>
    <w:rsid w:val="005F57D8"/>
    <w:rsid w:val="005F6574"/>
    <w:rsid w:val="005F6BC2"/>
    <w:rsid w:val="00604076"/>
    <w:rsid w:val="00604D3A"/>
    <w:rsid w:val="00614036"/>
    <w:rsid w:val="0061608E"/>
    <w:rsid w:val="006162BA"/>
    <w:rsid w:val="00617859"/>
    <w:rsid w:val="006333FE"/>
    <w:rsid w:val="00634E80"/>
    <w:rsid w:val="00641064"/>
    <w:rsid w:val="00641A42"/>
    <w:rsid w:val="00644950"/>
    <w:rsid w:val="00644E77"/>
    <w:rsid w:val="00666C7B"/>
    <w:rsid w:val="006676F0"/>
    <w:rsid w:val="00672A0A"/>
    <w:rsid w:val="0068523F"/>
    <w:rsid w:val="00690418"/>
    <w:rsid w:val="006A29CA"/>
    <w:rsid w:val="006B11EE"/>
    <w:rsid w:val="006B4B3E"/>
    <w:rsid w:val="006B716F"/>
    <w:rsid w:val="006C3859"/>
    <w:rsid w:val="006C44A9"/>
    <w:rsid w:val="006C5521"/>
    <w:rsid w:val="006D1492"/>
    <w:rsid w:val="006D33D4"/>
    <w:rsid w:val="006D7A42"/>
    <w:rsid w:val="006E5FAE"/>
    <w:rsid w:val="006F7A43"/>
    <w:rsid w:val="007048C5"/>
    <w:rsid w:val="00704BA1"/>
    <w:rsid w:val="00707E48"/>
    <w:rsid w:val="00711D8A"/>
    <w:rsid w:val="00712AC4"/>
    <w:rsid w:val="00717BC2"/>
    <w:rsid w:val="00720DF3"/>
    <w:rsid w:val="007210A5"/>
    <w:rsid w:val="007216FC"/>
    <w:rsid w:val="00721B7E"/>
    <w:rsid w:val="00721E96"/>
    <w:rsid w:val="00722A00"/>
    <w:rsid w:val="007267E8"/>
    <w:rsid w:val="00732FEF"/>
    <w:rsid w:val="007408DD"/>
    <w:rsid w:val="00740FE4"/>
    <w:rsid w:val="007478EA"/>
    <w:rsid w:val="00763908"/>
    <w:rsid w:val="007649A5"/>
    <w:rsid w:val="00776D43"/>
    <w:rsid w:val="00777D4B"/>
    <w:rsid w:val="007866F3"/>
    <w:rsid w:val="00786959"/>
    <w:rsid w:val="00793969"/>
    <w:rsid w:val="00797B30"/>
    <w:rsid w:val="007A3680"/>
    <w:rsid w:val="007B08BA"/>
    <w:rsid w:val="007B2E0B"/>
    <w:rsid w:val="007B51E8"/>
    <w:rsid w:val="007C2D43"/>
    <w:rsid w:val="007C5A88"/>
    <w:rsid w:val="007D357D"/>
    <w:rsid w:val="007D416A"/>
    <w:rsid w:val="007D5516"/>
    <w:rsid w:val="007F3743"/>
    <w:rsid w:val="007F62D1"/>
    <w:rsid w:val="0080293D"/>
    <w:rsid w:val="008075FF"/>
    <w:rsid w:val="0081582F"/>
    <w:rsid w:val="008175C8"/>
    <w:rsid w:val="00830F95"/>
    <w:rsid w:val="008517EF"/>
    <w:rsid w:val="0085184F"/>
    <w:rsid w:val="008543CB"/>
    <w:rsid w:val="0086497C"/>
    <w:rsid w:val="008733A8"/>
    <w:rsid w:val="00877873"/>
    <w:rsid w:val="00882292"/>
    <w:rsid w:val="0089154B"/>
    <w:rsid w:val="008A4BFE"/>
    <w:rsid w:val="008A72B4"/>
    <w:rsid w:val="008B3C33"/>
    <w:rsid w:val="008D400F"/>
    <w:rsid w:val="008E6018"/>
    <w:rsid w:val="008F3D5A"/>
    <w:rsid w:val="008F4F5C"/>
    <w:rsid w:val="008F6D82"/>
    <w:rsid w:val="009027B9"/>
    <w:rsid w:val="0090772D"/>
    <w:rsid w:val="00916BBA"/>
    <w:rsid w:val="0093153A"/>
    <w:rsid w:val="009322AB"/>
    <w:rsid w:val="009372DC"/>
    <w:rsid w:val="009458AD"/>
    <w:rsid w:val="00945962"/>
    <w:rsid w:val="00964586"/>
    <w:rsid w:val="00966BDB"/>
    <w:rsid w:val="00982214"/>
    <w:rsid w:val="009A54D9"/>
    <w:rsid w:val="009B4CB4"/>
    <w:rsid w:val="009C31EA"/>
    <w:rsid w:val="009F7DDB"/>
    <w:rsid w:val="00A01D60"/>
    <w:rsid w:val="00A06EEC"/>
    <w:rsid w:val="00A06FE6"/>
    <w:rsid w:val="00A11C8D"/>
    <w:rsid w:val="00A12175"/>
    <w:rsid w:val="00A168C8"/>
    <w:rsid w:val="00A27C54"/>
    <w:rsid w:val="00A339BF"/>
    <w:rsid w:val="00A57E30"/>
    <w:rsid w:val="00A6556B"/>
    <w:rsid w:val="00A66325"/>
    <w:rsid w:val="00A67DAC"/>
    <w:rsid w:val="00A7589A"/>
    <w:rsid w:val="00A8423D"/>
    <w:rsid w:val="00A866BB"/>
    <w:rsid w:val="00A87BE1"/>
    <w:rsid w:val="00A90532"/>
    <w:rsid w:val="00AA0C1F"/>
    <w:rsid w:val="00AA459F"/>
    <w:rsid w:val="00AA52D7"/>
    <w:rsid w:val="00AA73D9"/>
    <w:rsid w:val="00AB23B1"/>
    <w:rsid w:val="00AB71D6"/>
    <w:rsid w:val="00AC201A"/>
    <w:rsid w:val="00AC2D89"/>
    <w:rsid w:val="00AC2E05"/>
    <w:rsid w:val="00AC3E45"/>
    <w:rsid w:val="00AD15BF"/>
    <w:rsid w:val="00AD30BE"/>
    <w:rsid w:val="00AD4843"/>
    <w:rsid w:val="00AD4AFA"/>
    <w:rsid w:val="00AE02F2"/>
    <w:rsid w:val="00AE7297"/>
    <w:rsid w:val="00AF79E3"/>
    <w:rsid w:val="00B1076B"/>
    <w:rsid w:val="00B170AA"/>
    <w:rsid w:val="00B3141D"/>
    <w:rsid w:val="00B350D4"/>
    <w:rsid w:val="00B461C6"/>
    <w:rsid w:val="00B60A1C"/>
    <w:rsid w:val="00B615FC"/>
    <w:rsid w:val="00B65C8B"/>
    <w:rsid w:val="00B67C76"/>
    <w:rsid w:val="00B7105B"/>
    <w:rsid w:val="00B755F2"/>
    <w:rsid w:val="00B80E29"/>
    <w:rsid w:val="00B83602"/>
    <w:rsid w:val="00B841F9"/>
    <w:rsid w:val="00B8425D"/>
    <w:rsid w:val="00B85617"/>
    <w:rsid w:val="00B92AC0"/>
    <w:rsid w:val="00B93BEF"/>
    <w:rsid w:val="00BA438C"/>
    <w:rsid w:val="00BC6320"/>
    <w:rsid w:val="00BC6C4D"/>
    <w:rsid w:val="00BD4FE5"/>
    <w:rsid w:val="00BD616F"/>
    <w:rsid w:val="00BD77E8"/>
    <w:rsid w:val="00BE198D"/>
    <w:rsid w:val="00BE43AE"/>
    <w:rsid w:val="00BE5356"/>
    <w:rsid w:val="00BE6387"/>
    <w:rsid w:val="00BF44A8"/>
    <w:rsid w:val="00BF6D7E"/>
    <w:rsid w:val="00C00A03"/>
    <w:rsid w:val="00C0152D"/>
    <w:rsid w:val="00C05DC0"/>
    <w:rsid w:val="00C06DD0"/>
    <w:rsid w:val="00C11B71"/>
    <w:rsid w:val="00C2542E"/>
    <w:rsid w:val="00C34C24"/>
    <w:rsid w:val="00C4337F"/>
    <w:rsid w:val="00C45F6C"/>
    <w:rsid w:val="00C55C16"/>
    <w:rsid w:val="00C70F98"/>
    <w:rsid w:val="00C71B7B"/>
    <w:rsid w:val="00C81773"/>
    <w:rsid w:val="00C930D0"/>
    <w:rsid w:val="00C934E0"/>
    <w:rsid w:val="00C936C6"/>
    <w:rsid w:val="00C9447D"/>
    <w:rsid w:val="00CA2A5E"/>
    <w:rsid w:val="00CA6B4F"/>
    <w:rsid w:val="00CC1CB2"/>
    <w:rsid w:val="00CD49CC"/>
    <w:rsid w:val="00CE1AE8"/>
    <w:rsid w:val="00CE23CD"/>
    <w:rsid w:val="00CE7C18"/>
    <w:rsid w:val="00CF06F8"/>
    <w:rsid w:val="00CF3185"/>
    <w:rsid w:val="00CF7EC1"/>
    <w:rsid w:val="00D458C7"/>
    <w:rsid w:val="00D45970"/>
    <w:rsid w:val="00D52913"/>
    <w:rsid w:val="00D5761B"/>
    <w:rsid w:val="00D62438"/>
    <w:rsid w:val="00D62818"/>
    <w:rsid w:val="00D7175D"/>
    <w:rsid w:val="00D90CA5"/>
    <w:rsid w:val="00D943E3"/>
    <w:rsid w:val="00D973B0"/>
    <w:rsid w:val="00DC0138"/>
    <w:rsid w:val="00DC12E5"/>
    <w:rsid w:val="00DD200B"/>
    <w:rsid w:val="00DD41E3"/>
    <w:rsid w:val="00DE7F41"/>
    <w:rsid w:val="00DF2459"/>
    <w:rsid w:val="00E23138"/>
    <w:rsid w:val="00E2523E"/>
    <w:rsid w:val="00E62883"/>
    <w:rsid w:val="00E636E1"/>
    <w:rsid w:val="00E65DEC"/>
    <w:rsid w:val="00E673F9"/>
    <w:rsid w:val="00E70411"/>
    <w:rsid w:val="00E717F3"/>
    <w:rsid w:val="00E76AD8"/>
    <w:rsid w:val="00E83CF9"/>
    <w:rsid w:val="00E84230"/>
    <w:rsid w:val="00E866E8"/>
    <w:rsid w:val="00E87B87"/>
    <w:rsid w:val="00E87D06"/>
    <w:rsid w:val="00E9077D"/>
    <w:rsid w:val="00E9203C"/>
    <w:rsid w:val="00E93233"/>
    <w:rsid w:val="00E94632"/>
    <w:rsid w:val="00E96F43"/>
    <w:rsid w:val="00EA01EA"/>
    <w:rsid w:val="00EB14B2"/>
    <w:rsid w:val="00ED012D"/>
    <w:rsid w:val="00ED1ACA"/>
    <w:rsid w:val="00ED3EA0"/>
    <w:rsid w:val="00EE3490"/>
    <w:rsid w:val="00EE4060"/>
    <w:rsid w:val="00F11469"/>
    <w:rsid w:val="00F13173"/>
    <w:rsid w:val="00F1350F"/>
    <w:rsid w:val="00F1413B"/>
    <w:rsid w:val="00F206DA"/>
    <w:rsid w:val="00F243E7"/>
    <w:rsid w:val="00F26813"/>
    <w:rsid w:val="00F26F3E"/>
    <w:rsid w:val="00F43617"/>
    <w:rsid w:val="00F43778"/>
    <w:rsid w:val="00F47874"/>
    <w:rsid w:val="00F47C9B"/>
    <w:rsid w:val="00F51C30"/>
    <w:rsid w:val="00F52BD1"/>
    <w:rsid w:val="00F725B1"/>
    <w:rsid w:val="00F72ADF"/>
    <w:rsid w:val="00F76655"/>
    <w:rsid w:val="00F802DB"/>
    <w:rsid w:val="00F80CAE"/>
    <w:rsid w:val="00F8418F"/>
    <w:rsid w:val="00F84C8F"/>
    <w:rsid w:val="00F9482A"/>
    <w:rsid w:val="00FA009D"/>
    <w:rsid w:val="00FA345A"/>
    <w:rsid w:val="00FB030E"/>
    <w:rsid w:val="00FC6152"/>
    <w:rsid w:val="00FC6B62"/>
    <w:rsid w:val="00FD2384"/>
    <w:rsid w:val="00FD272A"/>
    <w:rsid w:val="00FD29E5"/>
    <w:rsid w:val="00FD5E60"/>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137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s>
</file>

<file path=word/webSettings.xml><?xml version="1.0" encoding="utf-8"?>
<w:webSettings xmlns:r="http://schemas.openxmlformats.org/officeDocument/2006/relationships" xmlns:w="http://schemas.openxmlformats.org/wordprocessingml/2006/main">
  <w:divs>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84906C79-2104-4329-8DAB-570D94B4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835</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guide for Shivwits milkvetch (Astragalus ampullarioides)</vt:lpstr>
    </vt:vector>
  </TitlesOfParts>
  <Company>USDA NRCS National Plant Materials Center</Company>
  <LinksUpToDate>false</LinksUpToDate>
  <CharactersWithSpaces>5671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Winkler's pincushion cactus (Pediocactus winkleri)</dc:title>
  <dc:subject>plant guide</dc:subject>
  <dc:creator>USDA-NRCS Plant materials program</dc:creator>
  <cp:keywords>plant guide, Winkler's pincushion, Pediocactus winkleri, threatened, endangered</cp:keywords>
  <cp:lastModifiedBy>Derek.Tilley</cp:lastModifiedBy>
  <cp:revision>3</cp:revision>
  <cp:lastPrinted>2011-01-12T19:46:00Z</cp:lastPrinted>
  <dcterms:created xsi:type="dcterms:W3CDTF">2011-01-13T15:13:00Z</dcterms:created>
  <dcterms:modified xsi:type="dcterms:W3CDTF">2011-01-13T15:14:00Z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