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2672D2" w:rsidP="00E9203C">
      <w:pPr>
        <w:pStyle w:val="Heading1"/>
      </w:pPr>
      <w:r>
        <w:lastRenderedPageBreak/>
        <w:t>BULBOUS BLUEGRASS</w:t>
      </w:r>
    </w:p>
    <w:p w:rsidR="00CE7C18" w:rsidRDefault="002672D2" w:rsidP="00CE7C18">
      <w:pPr>
        <w:pStyle w:val="Heading2"/>
      </w:pPr>
      <w:proofErr w:type="spellStart"/>
      <w:r>
        <w:t>Poa</w:t>
      </w:r>
      <w:proofErr w:type="spellEnd"/>
      <w:r>
        <w:t xml:space="preserve"> </w:t>
      </w:r>
      <w:proofErr w:type="spellStart"/>
      <w:r>
        <w:t>bulbosa</w:t>
      </w:r>
      <w:proofErr w:type="spellEnd"/>
      <w:r>
        <w:t xml:space="preserve"> </w:t>
      </w:r>
      <w:r>
        <w:rPr>
          <w:i w:val="0"/>
        </w:rPr>
        <w:t>L.</w:t>
      </w:r>
    </w:p>
    <w:p w:rsidR="00614036" w:rsidRPr="00A90532" w:rsidRDefault="002672D2" w:rsidP="006A29CA">
      <w:pPr>
        <w:pStyle w:val="PlantSymbol"/>
      </w:pPr>
      <w:r>
        <w:t>Plant Symbol = POBU</w:t>
      </w:r>
    </w:p>
    <w:p w:rsidR="003759E1" w:rsidRPr="002672D2" w:rsidRDefault="002672D2" w:rsidP="002672D2">
      <w:pPr>
        <w:pStyle w:val="BodytextNRCS"/>
        <w:spacing w:before="120"/>
      </w:pPr>
      <w:r w:rsidRPr="002672D2">
        <w:rPr>
          <w:iCs/>
          <w:color w:val="000000"/>
        </w:rPr>
        <w:t xml:space="preserve">Contributed by: USDA NRCS Plant Materials Center, Pullman, Washington </w:t>
      </w:r>
    </w:p>
    <w:p w:rsidR="002672D2" w:rsidRDefault="002672D2" w:rsidP="002672D2">
      <w:pPr>
        <w:pStyle w:val="Default"/>
        <w:spacing w:before="120"/>
      </w:pPr>
      <w:r>
        <w:rPr>
          <w:i/>
          <w:noProof/>
          <w:sz w:val="16"/>
          <w:szCs w:val="16"/>
        </w:rPr>
        <w:drawing>
          <wp:inline distT="0" distB="0" distL="0" distR="0">
            <wp:extent cx="2583527" cy="3524474"/>
            <wp:effectExtent l="19050" t="0" r="7273" b="0"/>
            <wp:docPr id="1" name="Picture 1" descr="Color photo of bulbous bluegrass by Dave Sk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583046" cy="3523818"/>
                    </a:xfrm>
                    <a:prstGeom prst="rect">
                      <a:avLst/>
                    </a:prstGeom>
                    <a:noFill/>
                    <a:ln w="9525">
                      <a:noFill/>
                      <a:miter lim="800000"/>
                      <a:headEnd/>
                      <a:tailEnd/>
                    </a:ln>
                  </pic:spPr>
                </pic:pic>
              </a:graphicData>
            </a:graphic>
          </wp:inline>
        </w:drawing>
      </w:r>
    </w:p>
    <w:p w:rsidR="002672D2" w:rsidRDefault="002672D2" w:rsidP="002672D2">
      <w:pPr>
        <w:pStyle w:val="Default"/>
        <w:rPr>
          <w:sz w:val="16"/>
          <w:szCs w:val="16"/>
        </w:rPr>
      </w:pPr>
      <w:r w:rsidRPr="002672D2">
        <w:t xml:space="preserve"> </w:t>
      </w:r>
      <w:r w:rsidRPr="002672D2">
        <w:rPr>
          <w:sz w:val="16"/>
          <w:szCs w:val="16"/>
        </w:rPr>
        <w:t xml:space="preserve">Dave Skinner, Pullman PMC </w:t>
      </w:r>
    </w:p>
    <w:p w:rsidR="002672D2" w:rsidRP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Cs w:val="24"/>
        </w:rPr>
        <w:t xml:space="preserve"> </w:t>
      </w:r>
      <w:r w:rsidRPr="002672D2">
        <w:rPr>
          <w:b/>
          <w:bCs/>
          <w:color w:val="000000"/>
          <w:sz w:val="20"/>
        </w:rPr>
        <w:t xml:space="preserve">Alternate Names </w:t>
      </w:r>
    </w:p>
    <w:p w:rsidR="002672D2" w:rsidRPr="002672D2" w:rsidRDefault="002672D2" w:rsidP="002672D2">
      <w:pPr>
        <w:autoSpaceDE w:val="0"/>
        <w:autoSpaceDN w:val="0"/>
        <w:adjustRightInd w:val="0"/>
        <w:jc w:val="left"/>
        <w:rPr>
          <w:color w:val="000000"/>
          <w:sz w:val="20"/>
        </w:rPr>
      </w:pPr>
      <w:r w:rsidRPr="002672D2">
        <w:rPr>
          <w:color w:val="000000"/>
          <w:sz w:val="20"/>
        </w:rPr>
        <w:t xml:space="preserve">Winter bluegrass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Uses </w:t>
      </w:r>
    </w:p>
    <w:p w:rsidR="002672D2" w:rsidRPr="002672D2" w:rsidRDefault="002672D2" w:rsidP="002672D2">
      <w:pPr>
        <w:autoSpaceDE w:val="0"/>
        <w:autoSpaceDN w:val="0"/>
        <w:adjustRightInd w:val="0"/>
        <w:jc w:val="left"/>
        <w:rPr>
          <w:color w:val="000000"/>
          <w:sz w:val="20"/>
        </w:rPr>
      </w:pPr>
      <w:r w:rsidRPr="002672D2">
        <w:rPr>
          <w:i/>
          <w:iCs/>
          <w:color w:val="000000"/>
          <w:sz w:val="20"/>
        </w:rPr>
        <w:t>Cultural</w:t>
      </w:r>
      <w:r w:rsidRPr="002672D2">
        <w:rPr>
          <w:color w:val="000000"/>
          <w:sz w:val="20"/>
        </w:rPr>
        <w:t xml:space="preserve">: Bulbous bluegrass is currently considered to be a weedy species, but was used in the mid 1900's as a grass for turf, pasture and erosion control.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Grazing: </w:t>
      </w:r>
      <w:r w:rsidRPr="002672D2">
        <w:rPr>
          <w:color w:val="000000"/>
          <w:sz w:val="20"/>
        </w:rPr>
        <w:t xml:space="preserve">In early spring, when lush and green it is thought to be a desirable forage species. However, it matures quickly and does not provide a significant amount of forage for livestock.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Wildlife: </w:t>
      </w:r>
      <w:r w:rsidRPr="002672D2">
        <w:rPr>
          <w:color w:val="000000"/>
          <w:sz w:val="20"/>
        </w:rPr>
        <w:t xml:space="preserve">The </w:t>
      </w:r>
      <w:proofErr w:type="spellStart"/>
      <w:r w:rsidRPr="002672D2">
        <w:rPr>
          <w:color w:val="000000"/>
          <w:sz w:val="20"/>
        </w:rPr>
        <w:t>bulblets</w:t>
      </w:r>
      <w:proofErr w:type="spellEnd"/>
      <w:r w:rsidRPr="002672D2">
        <w:rPr>
          <w:color w:val="000000"/>
          <w:sz w:val="20"/>
        </w:rPr>
        <w:t xml:space="preserve"> of bulbous bluegrass contain high levels of starch and fat, and therefore are attractive to rodents and birds (Locke &amp; </w:t>
      </w:r>
      <w:proofErr w:type="spellStart"/>
      <w:r w:rsidRPr="002672D2">
        <w:rPr>
          <w:color w:val="000000"/>
          <w:sz w:val="20"/>
        </w:rPr>
        <w:t>Burrill</w:t>
      </w:r>
      <w:proofErr w:type="spellEnd"/>
      <w:r w:rsidRPr="002672D2">
        <w:rPr>
          <w:color w:val="000000"/>
          <w:sz w:val="20"/>
        </w:rPr>
        <w:t xml:space="preserve">, 1994).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Status </w:t>
      </w:r>
    </w:p>
    <w:p w:rsidR="002672D2" w:rsidRPr="002672D2" w:rsidRDefault="002672D2" w:rsidP="002672D2">
      <w:pPr>
        <w:autoSpaceDE w:val="0"/>
        <w:autoSpaceDN w:val="0"/>
        <w:adjustRightInd w:val="0"/>
        <w:jc w:val="left"/>
        <w:rPr>
          <w:color w:val="000000"/>
          <w:sz w:val="20"/>
        </w:rPr>
      </w:pPr>
      <w:r w:rsidRPr="002672D2">
        <w:rPr>
          <w:color w:val="000000"/>
          <w:sz w:val="20"/>
        </w:rPr>
        <w:t>Consult the PLANTS Web (</w:t>
      </w:r>
      <w:r w:rsidRPr="002672D2">
        <w:rPr>
          <w:color w:val="0000FF"/>
          <w:sz w:val="20"/>
          <w:u w:val="single"/>
        </w:rPr>
        <w:t>http://plants.usda.gov</w:t>
      </w:r>
      <w:r w:rsidRPr="002672D2">
        <w:rPr>
          <w:color w:val="000000"/>
          <w:sz w:val="20"/>
        </w:rPr>
        <w:t xml:space="preserve">) site and your State Department of Natural Resources for this plant’s current status (e.g. threatened or endangered </w:t>
      </w:r>
      <w:r w:rsidRPr="002672D2">
        <w:rPr>
          <w:color w:val="000000"/>
          <w:sz w:val="20"/>
        </w:rPr>
        <w:lastRenderedPageBreak/>
        <w:t xml:space="preserve">species, state noxious status, and wetland indicator values).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proofErr w:type="spellStart"/>
      <w:r w:rsidRPr="002672D2">
        <w:rPr>
          <w:b/>
          <w:bCs/>
          <w:color w:val="000000"/>
          <w:sz w:val="20"/>
        </w:rPr>
        <w:t>Weediness</w:t>
      </w:r>
      <w:proofErr w:type="spellEnd"/>
      <w:r w:rsidRPr="002672D2">
        <w:rPr>
          <w:b/>
          <w:bCs/>
          <w:color w:val="000000"/>
          <w:sz w:val="20"/>
        </w:rPr>
        <w:t xml:space="preserve"> </w:t>
      </w:r>
    </w:p>
    <w:p w:rsidR="002672D2" w:rsidRPr="002672D2" w:rsidRDefault="002672D2" w:rsidP="002672D2">
      <w:pPr>
        <w:autoSpaceDE w:val="0"/>
        <w:autoSpaceDN w:val="0"/>
        <w:adjustRightInd w:val="0"/>
        <w:jc w:val="left"/>
        <w:rPr>
          <w:color w:val="000000"/>
          <w:sz w:val="20"/>
        </w:rPr>
      </w:pPr>
      <w:r w:rsidRPr="002672D2">
        <w:rPr>
          <w:color w:val="000000"/>
          <w:sz w:val="20"/>
        </w:rPr>
        <w:t xml:space="preserve">Bulbous bluegrass is often the first invading species on disturbed shallow soils that are moist during the winter and early spring (Locke &amp; </w:t>
      </w:r>
      <w:proofErr w:type="spellStart"/>
      <w:r w:rsidRPr="002672D2">
        <w:rPr>
          <w:color w:val="000000"/>
          <w:sz w:val="20"/>
        </w:rPr>
        <w:t>Burrill</w:t>
      </w:r>
      <w:proofErr w:type="spellEnd"/>
      <w:r w:rsidRPr="002672D2">
        <w:rPr>
          <w:color w:val="000000"/>
          <w:sz w:val="20"/>
        </w:rPr>
        <w:t xml:space="preserve">, 1994).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The grass is known to move from marginal sites to nearby fields of crop and hay. It is easily controlled with early season cultivation using implements such as a </w:t>
      </w:r>
      <w:proofErr w:type="spellStart"/>
      <w:r w:rsidRPr="002672D2">
        <w:rPr>
          <w:color w:val="000000"/>
          <w:sz w:val="20"/>
        </w:rPr>
        <w:t>spiketooth</w:t>
      </w:r>
      <w:proofErr w:type="spellEnd"/>
      <w:r w:rsidRPr="002672D2">
        <w:rPr>
          <w:color w:val="000000"/>
          <w:sz w:val="20"/>
        </w:rPr>
        <w:t xml:space="preserve"> harrow or </w:t>
      </w:r>
      <w:proofErr w:type="spellStart"/>
      <w:r w:rsidRPr="002672D2">
        <w:rPr>
          <w:color w:val="000000"/>
          <w:sz w:val="20"/>
        </w:rPr>
        <w:t>viber</w:t>
      </w:r>
      <w:proofErr w:type="spellEnd"/>
      <w:r w:rsidRPr="002672D2">
        <w:rPr>
          <w:color w:val="000000"/>
          <w:sz w:val="20"/>
        </w:rPr>
        <w:t xml:space="preserve"> shanks and herbicides for grass control.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Description </w:t>
      </w:r>
    </w:p>
    <w:p w:rsidR="002672D2" w:rsidRPr="002672D2" w:rsidRDefault="002672D2" w:rsidP="002672D2">
      <w:pPr>
        <w:autoSpaceDE w:val="0"/>
        <w:autoSpaceDN w:val="0"/>
        <w:adjustRightInd w:val="0"/>
        <w:jc w:val="left"/>
        <w:rPr>
          <w:color w:val="000000"/>
          <w:sz w:val="20"/>
        </w:rPr>
      </w:pPr>
      <w:r w:rsidRPr="002672D2">
        <w:rPr>
          <w:i/>
          <w:iCs/>
          <w:color w:val="000000"/>
          <w:sz w:val="20"/>
        </w:rPr>
        <w:t>General</w:t>
      </w:r>
      <w:r w:rsidRPr="002672D2">
        <w:rPr>
          <w:color w:val="000000"/>
          <w:sz w:val="20"/>
        </w:rPr>
        <w:t>: Grass Family (</w:t>
      </w:r>
      <w:proofErr w:type="spellStart"/>
      <w:r w:rsidRPr="002672D2">
        <w:rPr>
          <w:color w:val="000000"/>
          <w:sz w:val="20"/>
        </w:rPr>
        <w:t>Poaceae</w:t>
      </w:r>
      <w:proofErr w:type="spellEnd"/>
      <w:r w:rsidRPr="002672D2">
        <w:rPr>
          <w:color w:val="000000"/>
          <w:sz w:val="20"/>
        </w:rPr>
        <w:t>). Bulbous bluegrass is an introduced, short-lived perennial cool-season grass. It is the only grass known to have true bulbs (</w:t>
      </w:r>
      <w:proofErr w:type="spellStart"/>
      <w:r w:rsidRPr="002672D2">
        <w:rPr>
          <w:color w:val="000000"/>
          <w:sz w:val="20"/>
        </w:rPr>
        <w:t>Halperin</w:t>
      </w:r>
      <w:proofErr w:type="spellEnd"/>
      <w:r w:rsidRPr="002672D2">
        <w:rPr>
          <w:color w:val="000000"/>
          <w:sz w:val="20"/>
        </w:rPr>
        <w:t xml:space="preserve">, 1933). The bulbs are normally dormant from mid-May through early October. When the weather begins to cool, leaves emerge from the bulbs. Growth is slow during the winter months, and by early March the plant is typically around 3 inches tall. As weather becomes warmer, it grows to a height of 6 to 24 inches. Leaf blades are narrow, flat or loosely rolled, with membranous ligules about 1/8 </w:t>
      </w:r>
      <w:proofErr w:type="gramStart"/>
      <w:r w:rsidRPr="002672D2">
        <w:rPr>
          <w:color w:val="000000"/>
          <w:sz w:val="20"/>
        </w:rPr>
        <w:t>inch</w:t>
      </w:r>
      <w:proofErr w:type="gramEnd"/>
      <w:r w:rsidRPr="002672D2">
        <w:rPr>
          <w:color w:val="000000"/>
          <w:sz w:val="20"/>
        </w:rPr>
        <w:t xml:space="preserve"> long. Few culms are produced per plant. Flowers are usually modified to </w:t>
      </w:r>
      <w:proofErr w:type="spellStart"/>
      <w:r w:rsidRPr="002672D2">
        <w:rPr>
          <w:color w:val="000000"/>
          <w:sz w:val="20"/>
        </w:rPr>
        <w:t>bulblets</w:t>
      </w:r>
      <w:proofErr w:type="spellEnd"/>
      <w:r w:rsidRPr="002672D2">
        <w:rPr>
          <w:color w:val="000000"/>
          <w:sz w:val="20"/>
        </w:rPr>
        <w:t xml:space="preserve"> with a dark purple base. The panicle has a plume-like appearance from the long, slender lemma (some refer to them as bracts) attached to each </w:t>
      </w:r>
      <w:proofErr w:type="spellStart"/>
      <w:r w:rsidRPr="002672D2">
        <w:rPr>
          <w:color w:val="000000"/>
          <w:sz w:val="20"/>
        </w:rPr>
        <w:t>bulblet</w:t>
      </w:r>
      <w:proofErr w:type="spellEnd"/>
      <w:r w:rsidRPr="002672D2">
        <w:rPr>
          <w:color w:val="000000"/>
          <w:sz w:val="20"/>
        </w:rPr>
        <w:t xml:space="preserve">. The </w:t>
      </w:r>
      <w:proofErr w:type="spellStart"/>
      <w:r w:rsidRPr="002672D2">
        <w:rPr>
          <w:color w:val="000000"/>
          <w:sz w:val="20"/>
        </w:rPr>
        <w:t>bulblets</w:t>
      </w:r>
      <w:proofErr w:type="spellEnd"/>
      <w:r w:rsidRPr="002672D2">
        <w:rPr>
          <w:color w:val="000000"/>
          <w:sz w:val="20"/>
        </w:rPr>
        <w:t xml:space="preserve"> typically mature around early May, and soon after the grass senesces. The </w:t>
      </w:r>
      <w:proofErr w:type="spellStart"/>
      <w:r w:rsidRPr="002672D2">
        <w:rPr>
          <w:color w:val="000000"/>
          <w:sz w:val="20"/>
        </w:rPr>
        <w:t>bulblets</w:t>
      </w:r>
      <w:proofErr w:type="spellEnd"/>
      <w:r w:rsidRPr="002672D2">
        <w:rPr>
          <w:color w:val="000000"/>
          <w:sz w:val="20"/>
        </w:rPr>
        <w:t xml:space="preserve"> produced within the inflorescences germinate after a period of dormancy lasting a few months up to 2 years.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The formation of </w:t>
      </w:r>
      <w:proofErr w:type="spellStart"/>
      <w:r w:rsidRPr="002672D2">
        <w:rPr>
          <w:color w:val="000000"/>
          <w:sz w:val="20"/>
        </w:rPr>
        <w:t>bulblets</w:t>
      </w:r>
      <w:proofErr w:type="spellEnd"/>
      <w:r w:rsidRPr="002672D2">
        <w:rPr>
          <w:color w:val="000000"/>
          <w:sz w:val="20"/>
        </w:rPr>
        <w:t xml:space="preserve"> in bulbous bluegrass is a type of </w:t>
      </w:r>
      <w:proofErr w:type="spellStart"/>
      <w:r w:rsidRPr="002672D2">
        <w:rPr>
          <w:color w:val="000000"/>
          <w:sz w:val="20"/>
        </w:rPr>
        <w:t>apomictic</w:t>
      </w:r>
      <w:proofErr w:type="spellEnd"/>
      <w:r w:rsidRPr="002672D2">
        <w:rPr>
          <w:color w:val="000000"/>
          <w:sz w:val="20"/>
        </w:rPr>
        <w:t xml:space="preserve"> </w:t>
      </w:r>
      <w:proofErr w:type="spellStart"/>
      <w:r w:rsidRPr="002672D2">
        <w:rPr>
          <w:color w:val="000000"/>
          <w:sz w:val="20"/>
        </w:rPr>
        <w:t>vivipary</w:t>
      </w:r>
      <w:proofErr w:type="spellEnd"/>
      <w:r w:rsidRPr="002672D2">
        <w:rPr>
          <w:color w:val="000000"/>
          <w:sz w:val="20"/>
        </w:rPr>
        <w:t xml:space="preserve">. The lowermost floret of the spikelet usually has a developed lemma, but lacks a </w:t>
      </w:r>
      <w:proofErr w:type="spellStart"/>
      <w:r w:rsidRPr="002672D2">
        <w:rPr>
          <w:color w:val="000000"/>
          <w:sz w:val="20"/>
        </w:rPr>
        <w:t>palea</w:t>
      </w:r>
      <w:proofErr w:type="spellEnd"/>
      <w:r w:rsidRPr="002672D2">
        <w:rPr>
          <w:color w:val="000000"/>
          <w:sz w:val="20"/>
        </w:rPr>
        <w:t xml:space="preserve">. The lemmas of the second and third florets are long and leaf-like and are attached to a </w:t>
      </w:r>
      <w:proofErr w:type="spellStart"/>
      <w:r w:rsidRPr="002672D2">
        <w:rPr>
          <w:color w:val="000000"/>
          <w:sz w:val="20"/>
        </w:rPr>
        <w:t>bulblet</w:t>
      </w:r>
      <w:proofErr w:type="spellEnd"/>
      <w:r w:rsidRPr="002672D2">
        <w:rPr>
          <w:color w:val="000000"/>
          <w:sz w:val="20"/>
        </w:rPr>
        <w:t xml:space="preserve">, which develops from the floral parts (Gould &amp; Shaw, 1983). </w:t>
      </w:r>
    </w:p>
    <w:p w:rsidR="002672D2" w:rsidRDefault="002672D2" w:rsidP="002672D2">
      <w:pPr>
        <w:pStyle w:val="BodytextNRCS"/>
        <w:rPr>
          <w:color w:val="000000"/>
        </w:rPr>
      </w:pPr>
    </w:p>
    <w:p w:rsidR="002672D2" w:rsidRPr="002672D2" w:rsidRDefault="002672D2" w:rsidP="002672D2">
      <w:pPr>
        <w:pStyle w:val="Default"/>
        <w:rPr>
          <w:rFonts w:ascii="Times New Roman" w:hAnsi="Times New Roman" w:cs="Times New Roman"/>
          <w:sz w:val="20"/>
          <w:szCs w:val="20"/>
        </w:rPr>
      </w:pPr>
      <w:r w:rsidRPr="002672D2">
        <w:rPr>
          <w:rFonts w:ascii="Times New Roman" w:hAnsi="Times New Roman" w:cs="Times New Roman"/>
          <w:sz w:val="20"/>
          <w:szCs w:val="20"/>
        </w:rPr>
        <w:t xml:space="preserve">Bulbous bluegrass reproduces primarily through asexual means in North America (USDA, 1948; Hitchcock, 1971; Gaines &amp; Swan, 1972; </w:t>
      </w:r>
      <w:proofErr w:type="spellStart"/>
      <w:r w:rsidRPr="002672D2">
        <w:rPr>
          <w:rFonts w:ascii="Times New Roman" w:hAnsi="Times New Roman" w:cs="Times New Roman"/>
          <w:sz w:val="20"/>
          <w:szCs w:val="20"/>
        </w:rPr>
        <w:t>Cronquist</w:t>
      </w:r>
      <w:proofErr w:type="spellEnd"/>
      <w:r w:rsidRPr="002672D2">
        <w:rPr>
          <w:rFonts w:ascii="Times New Roman" w:hAnsi="Times New Roman" w:cs="Times New Roman"/>
          <w:sz w:val="20"/>
          <w:szCs w:val="20"/>
        </w:rPr>
        <w:t>, 1977). However, it is believed to reproduce primarily through sexual means in its native habitat of Europe and mid East Asia (</w:t>
      </w:r>
      <w:proofErr w:type="spellStart"/>
      <w:r w:rsidRPr="002672D2">
        <w:rPr>
          <w:rFonts w:ascii="Times New Roman" w:hAnsi="Times New Roman" w:cs="Times New Roman"/>
          <w:sz w:val="20"/>
          <w:szCs w:val="20"/>
        </w:rPr>
        <w:t>Youngner</w:t>
      </w:r>
      <w:proofErr w:type="spellEnd"/>
      <w:r w:rsidRPr="002672D2">
        <w:rPr>
          <w:rFonts w:ascii="Times New Roman" w:hAnsi="Times New Roman" w:cs="Times New Roman"/>
          <w:sz w:val="20"/>
          <w:szCs w:val="20"/>
        </w:rPr>
        <w:t xml:space="preserve"> &amp; </w:t>
      </w:r>
      <w:proofErr w:type="spellStart"/>
      <w:r w:rsidRPr="002672D2">
        <w:rPr>
          <w:rFonts w:ascii="Times New Roman" w:hAnsi="Times New Roman" w:cs="Times New Roman"/>
          <w:sz w:val="20"/>
          <w:szCs w:val="20"/>
        </w:rPr>
        <w:t>McKell</w:t>
      </w:r>
      <w:proofErr w:type="spellEnd"/>
      <w:r w:rsidRPr="002672D2">
        <w:rPr>
          <w:rFonts w:ascii="Times New Roman" w:hAnsi="Times New Roman" w:cs="Times New Roman"/>
          <w:sz w:val="20"/>
          <w:szCs w:val="20"/>
        </w:rPr>
        <w:t xml:space="preserve">, 1972). This phenomenon may be explained by differences in climate. </w:t>
      </w:r>
      <w:proofErr w:type="spellStart"/>
      <w:r w:rsidRPr="002672D2">
        <w:rPr>
          <w:rFonts w:ascii="Times New Roman" w:hAnsi="Times New Roman" w:cs="Times New Roman"/>
          <w:sz w:val="20"/>
          <w:szCs w:val="20"/>
        </w:rPr>
        <w:t>Youngner</w:t>
      </w:r>
      <w:proofErr w:type="spellEnd"/>
      <w:r w:rsidRPr="002672D2">
        <w:rPr>
          <w:rFonts w:ascii="Times New Roman" w:hAnsi="Times New Roman" w:cs="Times New Roman"/>
          <w:sz w:val="20"/>
          <w:szCs w:val="20"/>
        </w:rPr>
        <w:t xml:space="preserve"> (1960) conducted a study to determine the effects of day length and temperature on reproductive structures of bulbous bluegrass, and found high temperatures (70-80ºF) and long days (16 hrs.) following inflorescence initiation promoted seed production, whereas cool temperatures (68ºF or less) and short days (8 hrs.) promoted </w:t>
      </w:r>
      <w:proofErr w:type="spellStart"/>
      <w:r w:rsidRPr="002672D2">
        <w:rPr>
          <w:rFonts w:ascii="Times New Roman" w:hAnsi="Times New Roman" w:cs="Times New Roman"/>
          <w:sz w:val="20"/>
          <w:szCs w:val="20"/>
        </w:rPr>
        <w:t>bulblet</w:t>
      </w:r>
      <w:proofErr w:type="spellEnd"/>
      <w:r w:rsidRPr="002672D2">
        <w:rPr>
          <w:rFonts w:ascii="Times New Roman" w:hAnsi="Times New Roman" w:cs="Times New Roman"/>
          <w:sz w:val="20"/>
          <w:szCs w:val="20"/>
        </w:rPr>
        <w:t xml:space="preserve"> production. Long days and cool temperatures or short </w:t>
      </w:r>
      <w:r w:rsidRPr="002672D2">
        <w:rPr>
          <w:rFonts w:ascii="Times New Roman" w:hAnsi="Times New Roman" w:cs="Times New Roman"/>
          <w:sz w:val="20"/>
          <w:szCs w:val="20"/>
        </w:rPr>
        <w:lastRenderedPageBreak/>
        <w:t xml:space="preserve">days and high temperatures produced panicles with both seeds and </w:t>
      </w:r>
      <w:proofErr w:type="spellStart"/>
      <w:r w:rsidRPr="002672D2">
        <w:rPr>
          <w:rFonts w:ascii="Times New Roman" w:hAnsi="Times New Roman" w:cs="Times New Roman"/>
          <w:sz w:val="20"/>
          <w:szCs w:val="20"/>
        </w:rPr>
        <w:t>bulblets</w:t>
      </w:r>
      <w:proofErr w:type="spellEnd"/>
      <w:r w:rsidRPr="002672D2">
        <w:rPr>
          <w:rFonts w:ascii="Times New Roman" w:hAnsi="Times New Roman" w:cs="Times New Roman"/>
          <w:sz w:val="20"/>
          <w:szCs w:val="20"/>
        </w:rPr>
        <w:t xml:space="preserve">.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Sexual reproduction of bulbous bluegrass may occur more frequently in North America than originally expected. Novak &amp; </w:t>
      </w:r>
      <w:proofErr w:type="spellStart"/>
      <w:r w:rsidRPr="002672D2">
        <w:rPr>
          <w:color w:val="000000"/>
          <w:sz w:val="20"/>
        </w:rPr>
        <w:t>Welfley</w:t>
      </w:r>
      <w:proofErr w:type="spellEnd"/>
      <w:r w:rsidRPr="002672D2">
        <w:rPr>
          <w:color w:val="000000"/>
          <w:sz w:val="20"/>
        </w:rPr>
        <w:t xml:space="preserve"> (1997) used bulbous bluegrass to evaluate genetic diversity within and among populations of an introduced, </w:t>
      </w:r>
      <w:proofErr w:type="spellStart"/>
      <w:r w:rsidRPr="002672D2">
        <w:rPr>
          <w:color w:val="000000"/>
          <w:sz w:val="20"/>
        </w:rPr>
        <w:t>vegetatively</w:t>
      </w:r>
      <w:proofErr w:type="spellEnd"/>
      <w:r w:rsidRPr="002672D2">
        <w:rPr>
          <w:color w:val="000000"/>
          <w:sz w:val="20"/>
        </w:rPr>
        <w:t xml:space="preserve"> reproductive species, and found the diversity to be surprisingly high at both the species and population levels. They concluded the diversity likely resulted from a combination of sexual reproduction, the autopolyploid nature of the species, and multiple introduction events.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Bulbous bluegrass was introduced to North America accidentally, as a contaminant of alfalfa and clover seed. The grass was also introduced intentionally, for research purposes. In 1906 the USDA Office of Foreign Plant Introduction received </w:t>
      </w:r>
      <w:proofErr w:type="spellStart"/>
      <w:r w:rsidRPr="002672D2">
        <w:rPr>
          <w:color w:val="000000"/>
          <w:sz w:val="20"/>
        </w:rPr>
        <w:t>bulblets</w:t>
      </w:r>
      <w:proofErr w:type="spellEnd"/>
      <w:r w:rsidRPr="002672D2">
        <w:rPr>
          <w:color w:val="000000"/>
          <w:sz w:val="20"/>
        </w:rPr>
        <w:t xml:space="preserve"> of bulbous bluegrass from Russia (</w:t>
      </w:r>
      <w:proofErr w:type="spellStart"/>
      <w:r w:rsidRPr="002672D2">
        <w:rPr>
          <w:color w:val="000000"/>
          <w:sz w:val="20"/>
        </w:rPr>
        <w:t>Vinall</w:t>
      </w:r>
      <w:proofErr w:type="spellEnd"/>
      <w:r w:rsidRPr="002672D2">
        <w:rPr>
          <w:color w:val="000000"/>
          <w:sz w:val="20"/>
        </w:rPr>
        <w:t xml:space="preserve"> &amp; Westover, 1928). The </w:t>
      </w:r>
      <w:proofErr w:type="spellStart"/>
      <w:r w:rsidRPr="002672D2">
        <w:rPr>
          <w:color w:val="000000"/>
          <w:sz w:val="20"/>
        </w:rPr>
        <w:t>bulblets</w:t>
      </w:r>
      <w:proofErr w:type="spellEnd"/>
      <w:r w:rsidRPr="002672D2">
        <w:rPr>
          <w:color w:val="000000"/>
          <w:sz w:val="20"/>
        </w:rPr>
        <w:t xml:space="preserve"> were grown by the Arlington, VA Experimental Farm in 1907, 1908 and 1909, and at Pullman, WA in 1907. At that time the grass was reported as having no particular promise, and the investigations soon ended.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Bulbous bluegrass was re-evaluated in 1915 after the groundskeepers at the state capitol in Richmond, VA asked the USDA for assistance identifying the grass and determining methods to eradicate it. The groundskeepers considered the grass to be undesirable since it performed poorly in the summer months. The USDA grew the grass in a greenhouse and determined the grass to be </w:t>
      </w:r>
      <w:proofErr w:type="spellStart"/>
      <w:r w:rsidRPr="002672D2">
        <w:rPr>
          <w:i/>
          <w:iCs/>
          <w:color w:val="000000"/>
          <w:sz w:val="20"/>
        </w:rPr>
        <w:t>Poa</w:t>
      </w:r>
      <w:proofErr w:type="spellEnd"/>
      <w:r w:rsidRPr="002672D2">
        <w:rPr>
          <w:i/>
          <w:iCs/>
          <w:color w:val="000000"/>
          <w:sz w:val="20"/>
        </w:rPr>
        <w:t xml:space="preserve"> </w:t>
      </w:r>
      <w:proofErr w:type="spellStart"/>
      <w:r w:rsidRPr="002672D2">
        <w:rPr>
          <w:i/>
          <w:iCs/>
          <w:color w:val="000000"/>
          <w:sz w:val="20"/>
        </w:rPr>
        <w:t>bulbosa</w:t>
      </w:r>
      <w:proofErr w:type="spellEnd"/>
      <w:r w:rsidRPr="002672D2">
        <w:rPr>
          <w:i/>
          <w:iCs/>
          <w:color w:val="000000"/>
          <w:sz w:val="20"/>
        </w:rPr>
        <w:t xml:space="preserve">. </w:t>
      </w:r>
      <w:r w:rsidRPr="002672D2">
        <w:rPr>
          <w:color w:val="000000"/>
          <w:sz w:val="20"/>
        </w:rPr>
        <w:t>They advised the groundskeepers not to eradicate it, but instead manage it as winter grass in combination with Bermuda grass for the summer months (</w:t>
      </w:r>
      <w:proofErr w:type="spellStart"/>
      <w:r w:rsidRPr="002672D2">
        <w:rPr>
          <w:color w:val="000000"/>
          <w:sz w:val="20"/>
        </w:rPr>
        <w:t>Vinall</w:t>
      </w:r>
      <w:proofErr w:type="spellEnd"/>
      <w:r w:rsidRPr="002672D2">
        <w:rPr>
          <w:color w:val="000000"/>
          <w:sz w:val="20"/>
        </w:rPr>
        <w:t xml:space="preserve"> &amp; Westover, 1928).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In 1916 </w:t>
      </w:r>
      <w:proofErr w:type="spellStart"/>
      <w:r w:rsidRPr="002672D2">
        <w:rPr>
          <w:color w:val="000000"/>
          <w:sz w:val="20"/>
        </w:rPr>
        <w:t>bulblets</w:t>
      </w:r>
      <w:proofErr w:type="spellEnd"/>
      <w:r w:rsidRPr="002672D2">
        <w:rPr>
          <w:color w:val="000000"/>
          <w:sz w:val="20"/>
        </w:rPr>
        <w:t xml:space="preserve"> of the grass were distributed by the USDA to several experiment stations. Commercial production of the grass followed, and in 1928, Medford, OR was considered the center of production (</w:t>
      </w:r>
      <w:proofErr w:type="spellStart"/>
      <w:r w:rsidRPr="002672D2">
        <w:rPr>
          <w:color w:val="000000"/>
          <w:sz w:val="20"/>
        </w:rPr>
        <w:t>Vinall</w:t>
      </w:r>
      <w:proofErr w:type="spellEnd"/>
      <w:r w:rsidRPr="002672D2">
        <w:rPr>
          <w:color w:val="000000"/>
          <w:sz w:val="20"/>
        </w:rPr>
        <w:t xml:space="preserve"> &amp; Westover, 1928). During this time, bulbous bluegrass was used to compliment Bermuda grass in pastures and turf, but new evaluations were beginning to demonstrate the grass did not tolerate frequent clipping, and actually outcompeted Bermuda grass when both were grown together.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Bulbous bluegrass was still thought to have value in 1948, when it was recommended to replace </w:t>
      </w:r>
      <w:proofErr w:type="spellStart"/>
      <w:r w:rsidRPr="002672D2">
        <w:rPr>
          <w:color w:val="000000"/>
          <w:sz w:val="20"/>
        </w:rPr>
        <w:t>cheatgrass</w:t>
      </w:r>
      <w:proofErr w:type="spellEnd"/>
      <w:r w:rsidRPr="002672D2">
        <w:rPr>
          <w:color w:val="000000"/>
          <w:sz w:val="20"/>
        </w:rPr>
        <w:t xml:space="preserve"> on poor condition sites and as an understory species in seed mixtures in southern Idaho (Hull &amp; Stewart, 1948). </w:t>
      </w:r>
    </w:p>
    <w:p w:rsidR="002672D2" w:rsidRDefault="002672D2" w:rsidP="002672D2">
      <w:pPr>
        <w:autoSpaceDE w:val="0"/>
        <w:autoSpaceDN w:val="0"/>
        <w:adjustRightInd w:val="0"/>
        <w:jc w:val="left"/>
        <w:rPr>
          <w:color w:val="000000"/>
          <w:sz w:val="20"/>
        </w:rPr>
      </w:pPr>
    </w:p>
    <w:p w:rsidR="002672D2" w:rsidRPr="002672D2" w:rsidRDefault="002672D2" w:rsidP="002672D2">
      <w:pPr>
        <w:autoSpaceDE w:val="0"/>
        <w:autoSpaceDN w:val="0"/>
        <w:adjustRightInd w:val="0"/>
        <w:jc w:val="left"/>
        <w:rPr>
          <w:color w:val="000000"/>
          <w:sz w:val="20"/>
        </w:rPr>
      </w:pPr>
      <w:r w:rsidRPr="002672D2">
        <w:rPr>
          <w:color w:val="000000"/>
          <w:sz w:val="20"/>
        </w:rPr>
        <w:t xml:space="preserve">The Pullman Plant Materials Center (PMC) evaluated bulbous bluegrass for use in critical area plantings in the 1950's. In 1956, P-4784 was released but the </w:t>
      </w:r>
      <w:proofErr w:type="spellStart"/>
      <w:r w:rsidRPr="002672D2">
        <w:rPr>
          <w:color w:val="000000"/>
          <w:sz w:val="20"/>
        </w:rPr>
        <w:t>bulblets</w:t>
      </w:r>
      <w:proofErr w:type="spellEnd"/>
      <w:r w:rsidRPr="002672D2">
        <w:rPr>
          <w:color w:val="000000"/>
          <w:sz w:val="20"/>
        </w:rPr>
        <w:t xml:space="preserve"> failed to retain acceptable levels of germination. Consequently, P-4784 was not distributed to growers. </w:t>
      </w:r>
    </w:p>
    <w:p w:rsidR="002672D2" w:rsidRPr="002672D2" w:rsidRDefault="002672D2" w:rsidP="002672D2">
      <w:pPr>
        <w:autoSpaceDE w:val="0"/>
        <w:autoSpaceDN w:val="0"/>
        <w:adjustRightInd w:val="0"/>
        <w:jc w:val="left"/>
        <w:rPr>
          <w:color w:val="000000"/>
          <w:sz w:val="20"/>
        </w:rPr>
      </w:pPr>
      <w:r w:rsidRPr="002672D2">
        <w:rPr>
          <w:color w:val="000000"/>
          <w:sz w:val="20"/>
        </w:rPr>
        <w:lastRenderedPageBreak/>
        <w:t>As recently as 1997, the merits of bulbous bluegrass were still being considered, when it was included in a study to determine optimal species for low-input sustainable turf grass in the upper Midwest. The grass performed poorly and was not recommended for this use (</w:t>
      </w:r>
      <w:proofErr w:type="spellStart"/>
      <w:r w:rsidRPr="002672D2">
        <w:rPr>
          <w:color w:val="000000"/>
          <w:sz w:val="20"/>
        </w:rPr>
        <w:t>Diesburg</w:t>
      </w:r>
      <w:proofErr w:type="spellEnd"/>
      <w:r w:rsidRPr="002672D2">
        <w:rPr>
          <w:color w:val="000000"/>
          <w:sz w:val="20"/>
        </w:rPr>
        <w:t xml:space="preserve">, 1997). </w:t>
      </w:r>
    </w:p>
    <w:p w:rsidR="002672D2" w:rsidRDefault="002672D2" w:rsidP="002672D2">
      <w:pPr>
        <w:autoSpaceDE w:val="0"/>
        <w:autoSpaceDN w:val="0"/>
        <w:adjustRightInd w:val="0"/>
        <w:jc w:val="left"/>
        <w:rPr>
          <w:i/>
          <w:iCs/>
          <w:color w:val="000000"/>
          <w:sz w:val="20"/>
        </w:rPr>
      </w:pPr>
    </w:p>
    <w:p w:rsidR="002672D2" w:rsidRPr="002672D2" w:rsidRDefault="002672D2" w:rsidP="002672D2">
      <w:pPr>
        <w:autoSpaceDE w:val="0"/>
        <w:autoSpaceDN w:val="0"/>
        <w:adjustRightInd w:val="0"/>
        <w:jc w:val="left"/>
        <w:rPr>
          <w:color w:val="000000"/>
          <w:sz w:val="20"/>
        </w:rPr>
      </w:pPr>
      <w:r w:rsidRPr="002672D2">
        <w:rPr>
          <w:i/>
          <w:iCs/>
          <w:color w:val="000000"/>
          <w:sz w:val="20"/>
        </w:rPr>
        <w:t>Distribution</w:t>
      </w:r>
      <w:r w:rsidRPr="002672D2">
        <w:rPr>
          <w:color w:val="000000"/>
          <w:sz w:val="20"/>
        </w:rPr>
        <w:t xml:space="preserve">: Bulbous bluegrass grows in nearly all temperate and subtropical regions throughout the world. In North America, it inhabits roadsides and hay and crop fields. It tends to be more common in western states than eastern states.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Adaptation </w:t>
      </w:r>
    </w:p>
    <w:p w:rsidR="002672D2" w:rsidRPr="002672D2" w:rsidRDefault="002672D2" w:rsidP="002672D2">
      <w:pPr>
        <w:autoSpaceDE w:val="0"/>
        <w:autoSpaceDN w:val="0"/>
        <w:adjustRightInd w:val="0"/>
        <w:jc w:val="left"/>
        <w:rPr>
          <w:color w:val="000000"/>
          <w:sz w:val="20"/>
        </w:rPr>
      </w:pPr>
      <w:r w:rsidRPr="002672D2">
        <w:rPr>
          <w:color w:val="000000"/>
          <w:sz w:val="20"/>
        </w:rPr>
        <w:t xml:space="preserve">Bulbous bluegrass is best adapted to areas that have dry summers, mild winters, and winter rainfall. It is typically found within the 12" – 40" precipitation zones.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Establishment </w:t>
      </w:r>
    </w:p>
    <w:p w:rsidR="002672D2" w:rsidRPr="002672D2" w:rsidRDefault="002672D2" w:rsidP="002672D2">
      <w:pPr>
        <w:autoSpaceDE w:val="0"/>
        <w:autoSpaceDN w:val="0"/>
        <w:adjustRightInd w:val="0"/>
        <w:jc w:val="left"/>
        <w:rPr>
          <w:color w:val="000000"/>
          <w:sz w:val="20"/>
        </w:rPr>
      </w:pPr>
      <w:r w:rsidRPr="002672D2">
        <w:rPr>
          <w:color w:val="000000"/>
          <w:sz w:val="20"/>
        </w:rPr>
        <w:t xml:space="preserve">This species is not recommended for seeding.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Mechanical Control </w:t>
      </w:r>
    </w:p>
    <w:p w:rsidR="002672D2" w:rsidRPr="002672D2" w:rsidRDefault="002672D2" w:rsidP="002672D2">
      <w:pPr>
        <w:autoSpaceDE w:val="0"/>
        <w:autoSpaceDN w:val="0"/>
        <w:adjustRightInd w:val="0"/>
        <w:jc w:val="left"/>
        <w:rPr>
          <w:color w:val="000000"/>
          <w:sz w:val="20"/>
        </w:rPr>
      </w:pPr>
      <w:r w:rsidRPr="002672D2">
        <w:rPr>
          <w:color w:val="000000"/>
          <w:sz w:val="20"/>
        </w:rPr>
        <w:t xml:space="preserve">Spring tillage is very effective in controlling bulbous bluegrass. Fall tillage is less effective. Haying and mowing are not effective because the seed heads are frequently shorter than the cutting height. Burning is not effective because it rarely reduces the number of </w:t>
      </w:r>
      <w:proofErr w:type="spellStart"/>
      <w:r w:rsidRPr="002672D2">
        <w:rPr>
          <w:color w:val="000000"/>
          <w:sz w:val="20"/>
        </w:rPr>
        <w:t>bulblets</w:t>
      </w:r>
      <w:proofErr w:type="spellEnd"/>
      <w:r w:rsidRPr="002672D2">
        <w:rPr>
          <w:color w:val="000000"/>
          <w:sz w:val="20"/>
        </w:rPr>
        <w:t xml:space="preserve"> in the soil. </w:t>
      </w:r>
    </w:p>
    <w:p w:rsidR="002672D2" w:rsidRDefault="002672D2"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Environmental/Cultural Control </w:t>
      </w:r>
    </w:p>
    <w:p w:rsidR="002672D2" w:rsidRPr="002672D2" w:rsidRDefault="002672D2" w:rsidP="002672D2">
      <w:pPr>
        <w:pStyle w:val="Default"/>
        <w:rPr>
          <w:sz w:val="20"/>
          <w:szCs w:val="20"/>
        </w:rPr>
      </w:pPr>
      <w:r w:rsidRPr="002672D2">
        <w:rPr>
          <w:sz w:val="20"/>
          <w:szCs w:val="20"/>
        </w:rPr>
        <w:t xml:space="preserve">Infestations can be prevented by using crop seed, hay and straw that is free of bulbous bluegrass </w:t>
      </w:r>
      <w:proofErr w:type="spellStart"/>
      <w:r w:rsidRPr="002672D2">
        <w:rPr>
          <w:sz w:val="20"/>
          <w:szCs w:val="20"/>
        </w:rPr>
        <w:t>bulblets</w:t>
      </w:r>
      <w:proofErr w:type="spellEnd"/>
      <w:r w:rsidRPr="002672D2">
        <w:rPr>
          <w:sz w:val="20"/>
          <w:szCs w:val="20"/>
        </w:rPr>
        <w:t xml:space="preserve"> or seed. In addition, cleaning equipment before moving from a site infested with bulbous bluegrass and controlling weeds along fence rows and roadsides will prevent its spread. </w:t>
      </w:r>
    </w:p>
    <w:p w:rsidR="002672D2" w:rsidRDefault="002672D2" w:rsidP="002672D2">
      <w:pPr>
        <w:autoSpaceDE w:val="0"/>
        <w:autoSpaceDN w:val="0"/>
        <w:adjustRightInd w:val="0"/>
        <w:jc w:val="left"/>
        <w:rPr>
          <w:sz w:val="20"/>
        </w:rPr>
      </w:pPr>
    </w:p>
    <w:p w:rsidR="002672D2" w:rsidRPr="002672D2" w:rsidRDefault="002672D2" w:rsidP="002672D2">
      <w:pPr>
        <w:autoSpaceDE w:val="0"/>
        <w:autoSpaceDN w:val="0"/>
        <w:adjustRightInd w:val="0"/>
        <w:jc w:val="left"/>
        <w:rPr>
          <w:sz w:val="20"/>
        </w:rPr>
      </w:pPr>
      <w:r w:rsidRPr="002672D2">
        <w:rPr>
          <w:sz w:val="20"/>
        </w:rPr>
        <w:t xml:space="preserve">Within crop fields where bulbous bluegrass has established, it can be controlled by rotation with a spring crop or to permanent pasture or alfalfa. In </w:t>
      </w:r>
      <w:proofErr w:type="spellStart"/>
      <w:r w:rsidRPr="002672D2">
        <w:rPr>
          <w:sz w:val="20"/>
        </w:rPr>
        <w:t>uncropped</w:t>
      </w:r>
      <w:proofErr w:type="spellEnd"/>
      <w:r w:rsidRPr="002672D2">
        <w:rPr>
          <w:sz w:val="20"/>
        </w:rPr>
        <w:t xml:space="preserve"> areas, bulbous bluegrass can be managed by establishing a stand of competitive perennial grass. </w:t>
      </w:r>
    </w:p>
    <w:p w:rsidR="002672D2" w:rsidRDefault="002672D2" w:rsidP="002672D2">
      <w:pPr>
        <w:autoSpaceDE w:val="0"/>
        <w:autoSpaceDN w:val="0"/>
        <w:adjustRightInd w:val="0"/>
        <w:jc w:val="left"/>
        <w:rPr>
          <w:sz w:val="20"/>
        </w:rPr>
      </w:pPr>
    </w:p>
    <w:p w:rsidR="002672D2" w:rsidRPr="002672D2" w:rsidRDefault="002672D2" w:rsidP="002672D2">
      <w:pPr>
        <w:autoSpaceDE w:val="0"/>
        <w:autoSpaceDN w:val="0"/>
        <w:adjustRightInd w:val="0"/>
        <w:jc w:val="left"/>
        <w:rPr>
          <w:sz w:val="20"/>
        </w:rPr>
      </w:pPr>
      <w:r w:rsidRPr="002672D2">
        <w:rPr>
          <w:sz w:val="20"/>
        </w:rPr>
        <w:t xml:space="preserve">Intensive spring grazing can reduce bulbous bluegrass populations providing that intensive grazing is applied over a period of several growing seasons. Consult with the NRCS or a Certified Rangeland Management Specialist to determine if this practice could adversely impact other grazing plants and/or soil conditions. </w:t>
      </w:r>
    </w:p>
    <w:p w:rsidR="002672D2" w:rsidRDefault="002672D2" w:rsidP="002672D2">
      <w:pPr>
        <w:autoSpaceDE w:val="0"/>
        <w:autoSpaceDN w:val="0"/>
        <w:adjustRightInd w:val="0"/>
        <w:jc w:val="left"/>
        <w:rPr>
          <w:b/>
          <w:bCs/>
          <w:sz w:val="20"/>
        </w:rPr>
      </w:pPr>
    </w:p>
    <w:p w:rsidR="002672D2" w:rsidRPr="002672D2" w:rsidRDefault="002672D2" w:rsidP="002672D2">
      <w:pPr>
        <w:autoSpaceDE w:val="0"/>
        <w:autoSpaceDN w:val="0"/>
        <w:adjustRightInd w:val="0"/>
        <w:jc w:val="left"/>
        <w:rPr>
          <w:sz w:val="20"/>
        </w:rPr>
      </w:pPr>
      <w:r w:rsidRPr="002672D2">
        <w:rPr>
          <w:b/>
          <w:bCs/>
          <w:sz w:val="20"/>
        </w:rPr>
        <w:t xml:space="preserve">Chemical Control </w:t>
      </w:r>
    </w:p>
    <w:p w:rsidR="002672D2" w:rsidRPr="002672D2" w:rsidRDefault="002672D2" w:rsidP="002672D2">
      <w:pPr>
        <w:autoSpaceDE w:val="0"/>
        <w:autoSpaceDN w:val="0"/>
        <w:adjustRightInd w:val="0"/>
        <w:jc w:val="left"/>
        <w:rPr>
          <w:sz w:val="20"/>
        </w:rPr>
      </w:pPr>
      <w:r w:rsidRPr="002672D2">
        <w:rPr>
          <w:sz w:val="20"/>
        </w:rPr>
        <w:t xml:space="preserve">There is a wide range of chemicals available to control bulbous bluegrass. Contact your local agricultural extension agent or county weed specialist to learn what products work best in your area and how to use them properly. Always read and follow label and safety instructions. </w:t>
      </w:r>
    </w:p>
    <w:p w:rsidR="002672D2" w:rsidRDefault="002672D2" w:rsidP="002672D2">
      <w:pPr>
        <w:autoSpaceDE w:val="0"/>
        <w:autoSpaceDN w:val="0"/>
        <w:adjustRightInd w:val="0"/>
        <w:jc w:val="left"/>
        <w:rPr>
          <w:b/>
          <w:bCs/>
          <w:sz w:val="20"/>
        </w:rPr>
      </w:pPr>
    </w:p>
    <w:p w:rsidR="002672D2" w:rsidRPr="002672D2" w:rsidRDefault="002672D2" w:rsidP="002672D2">
      <w:pPr>
        <w:autoSpaceDE w:val="0"/>
        <w:autoSpaceDN w:val="0"/>
        <w:adjustRightInd w:val="0"/>
        <w:jc w:val="left"/>
        <w:rPr>
          <w:sz w:val="20"/>
        </w:rPr>
      </w:pPr>
      <w:r w:rsidRPr="002672D2">
        <w:rPr>
          <w:b/>
          <w:bCs/>
          <w:sz w:val="20"/>
        </w:rPr>
        <w:t xml:space="preserve">Biological Control </w:t>
      </w:r>
    </w:p>
    <w:p w:rsidR="002672D2" w:rsidRPr="002672D2" w:rsidRDefault="002672D2" w:rsidP="002672D2">
      <w:pPr>
        <w:autoSpaceDE w:val="0"/>
        <w:autoSpaceDN w:val="0"/>
        <w:adjustRightInd w:val="0"/>
        <w:jc w:val="left"/>
        <w:rPr>
          <w:sz w:val="20"/>
        </w:rPr>
      </w:pPr>
      <w:r w:rsidRPr="002672D2">
        <w:rPr>
          <w:sz w:val="20"/>
        </w:rPr>
        <w:t xml:space="preserve">No biological controls are known. </w:t>
      </w:r>
    </w:p>
    <w:p w:rsidR="002672D2" w:rsidRPr="002672D2" w:rsidRDefault="002672D2" w:rsidP="002672D2">
      <w:pPr>
        <w:autoSpaceDE w:val="0"/>
        <w:autoSpaceDN w:val="0"/>
        <w:adjustRightInd w:val="0"/>
        <w:jc w:val="left"/>
        <w:rPr>
          <w:sz w:val="20"/>
        </w:rPr>
      </w:pPr>
      <w:r w:rsidRPr="002672D2">
        <w:rPr>
          <w:b/>
          <w:bCs/>
          <w:sz w:val="20"/>
        </w:rPr>
        <w:lastRenderedPageBreak/>
        <w:t xml:space="preserve">Cultivars, Improved and Selected Materials Including Area of Origin </w:t>
      </w:r>
    </w:p>
    <w:p w:rsidR="002672D2" w:rsidRPr="002672D2" w:rsidRDefault="002672D2" w:rsidP="002672D2">
      <w:pPr>
        <w:autoSpaceDE w:val="0"/>
        <w:autoSpaceDN w:val="0"/>
        <w:adjustRightInd w:val="0"/>
        <w:jc w:val="left"/>
        <w:rPr>
          <w:sz w:val="20"/>
        </w:rPr>
      </w:pPr>
      <w:r w:rsidRPr="002672D2">
        <w:rPr>
          <w:sz w:val="20"/>
        </w:rPr>
        <w:t xml:space="preserve">The Pullman Plant Materials Center (PMC) evaluated bulbous bluegrass for several years in the 1950's. P-4784, an ecotype collected near the Washington-Idaho state line exhibited very robust late maturing growth. It was released in 1956 in cooperation with the Idaho Agricultural Experiment Station. The Pullman PMC grew P-4784 for several years but the </w:t>
      </w:r>
      <w:proofErr w:type="spellStart"/>
      <w:r w:rsidRPr="002672D2">
        <w:rPr>
          <w:sz w:val="20"/>
        </w:rPr>
        <w:t>bulblets</w:t>
      </w:r>
      <w:proofErr w:type="spellEnd"/>
      <w:r w:rsidRPr="002672D2">
        <w:rPr>
          <w:sz w:val="20"/>
        </w:rPr>
        <w:t xml:space="preserve"> failed to retain acceptable levels of germination. Consequently, P-4784 was not distributed to growers. All seed stock of P-4784 was destroyed in 1976 based on its poor seed storage characteristic and its weedy nature. Currently no seed is commercially available. </w:t>
      </w:r>
    </w:p>
    <w:p w:rsidR="002672D2" w:rsidRDefault="002672D2" w:rsidP="002672D2">
      <w:pPr>
        <w:autoSpaceDE w:val="0"/>
        <w:autoSpaceDN w:val="0"/>
        <w:adjustRightInd w:val="0"/>
        <w:jc w:val="left"/>
        <w:rPr>
          <w:b/>
          <w:bCs/>
          <w:sz w:val="20"/>
        </w:rPr>
      </w:pPr>
    </w:p>
    <w:p w:rsidR="002672D2" w:rsidRPr="002672D2" w:rsidRDefault="002672D2" w:rsidP="002672D2">
      <w:pPr>
        <w:autoSpaceDE w:val="0"/>
        <w:autoSpaceDN w:val="0"/>
        <w:adjustRightInd w:val="0"/>
        <w:jc w:val="left"/>
        <w:rPr>
          <w:sz w:val="20"/>
        </w:rPr>
      </w:pPr>
      <w:r w:rsidRPr="002672D2">
        <w:rPr>
          <w:b/>
          <w:bCs/>
          <w:sz w:val="20"/>
        </w:rPr>
        <w:t xml:space="preserve">Illustrations and Photographs </w:t>
      </w:r>
    </w:p>
    <w:p w:rsidR="002672D2" w:rsidRPr="002672D2" w:rsidRDefault="002672D2" w:rsidP="002672D2">
      <w:pPr>
        <w:autoSpaceDE w:val="0"/>
        <w:autoSpaceDN w:val="0"/>
        <w:adjustRightInd w:val="0"/>
        <w:jc w:val="left"/>
        <w:rPr>
          <w:sz w:val="20"/>
        </w:rPr>
      </w:pPr>
      <w:proofErr w:type="spellStart"/>
      <w:r w:rsidRPr="002672D2">
        <w:rPr>
          <w:sz w:val="20"/>
        </w:rPr>
        <w:t>Burrill</w:t>
      </w:r>
      <w:proofErr w:type="spellEnd"/>
      <w:r w:rsidRPr="002672D2">
        <w:rPr>
          <w:sz w:val="20"/>
        </w:rPr>
        <w:t xml:space="preserve">, L. C., et al. 1996. </w:t>
      </w:r>
      <w:proofErr w:type="gramStart"/>
      <w:r w:rsidRPr="002672D2">
        <w:rPr>
          <w:sz w:val="20"/>
        </w:rPr>
        <w:t>Weeds of the West, 5</w:t>
      </w:r>
      <w:r w:rsidRPr="002672D2">
        <w:rPr>
          <w:sz w:val="13"/>
          <w:szCs w:val="13"/>
        </w:rPr>
        <w:t xml:space="preserve">th </w:t>
      </w:r>
      <w:r w:rsidRPr="002672D2">
        <w:rPr>
          <w:sz w:val="20"/>
        </w:rPr>
        <w:t>ed., T.D.</w:t>
      </w:r>
      <w:proofErr w:type="gramEnd"/>
      <w:r w:rsidRPr="002672D2">
        <w:rPr>
          <w:sz w:val="20"/>
        </w:rPr>
        <w:t xml:space="preserve"> </w:t>
      </w:r>
      <w:r>
        <w:rPr>
          <w:sz w:val="20"/>
        </w:rPr>
        <w:tab/>
      </w:r>
      <w:proofErr w:type="gramStart"/>
      <w:r w:rsidRPr="002672D2">
        <w:rPr>
          <w:sz w:val="20"/>
        </w:rPr>
        <w:t>Whitson, editor.</w:t>
      </w:r>
      <w:proofErr w:type="gramEnd"/>
      <w:r w:rsidRPr="002672D2">
        <w:rPr>
          <w:sz w:val="20"/>
        </w:rPr>
        <w:t xml:space="preserve"> </w:t>
      </w:r>
      <w:proofErr w:type="gramStart"/>
      <w:r w:rsidRPr="002672D2">
        <w:rPr>
          <w:sz w:val="20"/>
        </w:rPr>
        <w:t>University of Wyoming.</w:t>
      </w:r>
      <w:proofErr w:type="gramEnd"/>
      <w:r w:rsidRPr="002672D2">
        <w:rPr>
          <w:sz w:val="20"/>
        </w:rPr>
        <w:t xml:space="preserve"> </w:t>
      </w:r>
      <w:proofErr w:type="spellStart"/>
      <w:r w:rsidRPr="002672D2">
        <w:rPr>
          <w:sz w:val="20"/>
        </w:rPr>
        <w:t>Larimie</w:t>
      </w:r>
      <w:proofErr w:type="spellEnd"/>
      <w:r w:rsidRPr="002672D2">
        <w:rPr>
          <w:sz w:val="20"/>
        </w:rPr>
        <w:t xml:space="preserve">, </w:t>
      </w:r>
      <w:r>
        <w:rPr>
          <w:sz w:val="20"/>
        </w:rPr>
        <w:tab/>
      </w:r>
      <w:r w:rsidRPr="002672D2">
        <w:rPr>
          <w:sz w:val="20"/>
        </w:rPr>
        <w:t xml:space="preserve">WY. pp. 482-483. </w:t>
      </w:r>
    </w:p>
    <w:p w:rsidR="002672D2" w:rsidRPr="002672D2" w:rsidRDefault="002672D2" w:rsidP="002672D2">
      <w:pPr>
        <w:autoSpaceDE w:val="0"/>
        <w:autoSpaceDN w:val="0"/>
        <w:adjustRightInd w:val="0"/>
        <w:jc w:val="left"/>
        <w:rPr>
          <w:sz w:val="20"/>
        </w:rPr>
      </w:pPr>
      <w:proofErr w:type="spellStart"/>
      <w:r w:rsidRPr="002672D2">
        <w:rPr>
          <w:sz w:val="20"/>
        </w:rPr>
        <w:t>Cronquist</w:t>
      </w:r>
      <w:proofErr w:type="spellEnd"/>
      <w:r w:rsidRPr="002672D2">
        <w:rPr>
          <w:sz w:val="20"/>
        </w:rPr>
        <w:t xml:space="preserve">, A., A.H. Holmgren, N.H. Holmgren, J.L. </w:t>
      </w:r>
      <w:r>
        <w:rPr>
          <w:sz w:val="20"/>
        </w:rPr>
        <w:tab/>
      </w:r>
      <w:proofErr w:type="spellStart"/>
      <w:r w:rsidRPr="002672D2">
        <w:rPr>
          <w:sz w:val="20"/>
        </w:rPr>
        <w:t>Revcal</w:t>
      </w:r>
      <w:proofErr w:type="spellEnd"/>
      <w:r w:rsidRPr="002672D2">
        <w:rPr>
          <w:sz w:val="20"/>
        </w:rPr>
        <w:t xml:space="preserve">, P.K. Holmgren. 1977. Intermountain Flora, </w:t>
      </w:r>
      <w:r>
        <w:rPr>
          <w:sz w:val="20"/>
        </w:rPr>
        <w:tab/>
      </w:r>
      <w:r w:rsidRPr="002672D2">
        <w:rPr>
          <w:sz w:val="20"/>
        </w:rPr>
        <w:t xml:space="preserve">vol. 6. Columbia University Press, New York. </w:t>
      </w:r>
      <w:proofErr w:type="gramStart"/>
      <w:r w:rsidRPr="002672D2">
        <w:rPr>
          <w:sz w:val="20"/>
        </w:rPr>
        <w:t>p. 235.</w:t>
      </w:r>
      <w:proofErr w:type="gramEnd"/>
      <w:r w:rsidRPr="002672D2">
        <w:rPr>
          <w:sz w:val="20"/>
        </w:rPr>
        <w:t xml:space="preserve"> </w:t>
      </w:r>
    </w:p>
    <w:p w:rsidR="002672D2" w:rsidRPr="002672D2" w:rsidRDefault="002672D2" w:rsidP="002672D2">
      <w:pPr>
        <w:autoSpaceDE w:val="0"/>
        <w:autoSpaceDN w:val="0"/>
        <w:adjustRightInd w:val="0"/>
        <w:jc w:val="left"/>
        <w:rPr>
          <w:sz w:val="20"/>
        </w:rPr>
      </w:pPr>
      <w:proofErr w:type="gramStart"/>
      <w:r w:rsidRPr="002672D2">
        <w:rPr>
          <w:sz w:val="20"/>
        </w:rPr>
        <w:t>Gaines, X.M. and D.G. Swan.</w:t>
      </w:r>
      <w:proofErr w:type="gramEnd"/>
      <w:r w:rsidRPr="002672D2">
        <w:rPr>
          <w:sz w:val="20"/>
        </w:rPr>
        <w:t xml:space="preserve"> 1972. Weeds of Eastern </w:t>
      </w:r>
      <w:r>
        <w:rPr>
          <w:sz w:val="20"/>
        </w:rPr>
        <w:tab/>
      </w:r>
      <w:r w:rsidRPr="002672D2">
        <w:rPr>
          <w:sz w:val="20"/>
        </w:rPr>
        <w:t xml:space="preserve">Washington and Adjacent Areas. </w:t>
      </w:r>
      <w:proofErr w:type="gramStart"/>
      <w:r w:rsidRPr="002672D2">
        <w:rPr>
          <w:sz w:val="20"/>
        </w:rPr>
        <w:t xml:space="preserve">C.W. Hill, Spokane, </w:t>
      </w:r>
      <w:r>
        <w:rPr>
          <w:sz w:val="20"/>
        </w:rPr>
        <w:tab/>
      </w:r>
      <w:r w:rsidRPr="002672D2">
        <w:rPr>
          <w:sz w:val="20"/>
        </w:rPr>
        <w:t>WA.</w:t>
      </w:r>
      <w:proofErr w:type="gramEnd"/>
      <w:r w:rsidRPr="002672D2">
        <w:rPr>
          <w:sz w:val="20"/>
        </w:rPr>
        <w:t xml:space="preserve"> pp. 54-55. </w:t>
      </w:r>
    </w:p>
    <w:p w:rsidR="002672D2" w:rsidRDefault="002672D2" w:rsidP="002672D2">
      <w:pPr>
        <w:autoSpaceDE w:val="0"/>
        <w:autoSpaceDN w:val="0"/>
        <w:adjustRightInd w:val="0"/>
        <w:jc w:val="left"/>
        <w:rPr>
          <w:b/>
          <w:bCs/>
          <w:sz w:val="20"/>
        </w:rPr>
      </w:pPr>
    </w:p>
    <w:p w:rsidR="002672D2" w:rsidRPr="002672D2" w:rsidRDefault="002672D2" w:rsidP="002672D2">
      <w:pPr>
        <w:autoSpaceDE w:val="0"/>
        <w:autoSpaceDN w:val="0"/>
        <w:adjustRightInd w:val="0"/>
        <w:jc w:val="left"/>
        <w:rPr>
          <w:sz w:val="20"/>
        </w:rPr>
      </w:pPr>
      <w:r w:rsidRPr="002672D2">
        <w:rPr>
          <w:b/>
          <w:bCs/>
          <w:sz w:val="20"/>
        </w:rPr>
        <w:t xml:space="preserve">References </w:t>
      </w:r>
    </w:p>
    <w:p w:rsidR="002672D2" w:rsidRPr="002672D2" w:rsidRDefault="002672D2" w:rsidP="002672D2">
      <w:pPr>
        <w:autoSpaceDE w:val="0"/>
        <w:autoSpaceDN w:val="0"/>
        <w:adjustRightInd w:val="0"/>
        <w:jc w:val="left"/>
        <w:rPr>
          <w:sz w:val="20"/>
        </w:rPr>
      </w:pPr>
      <w:proofErr w:type="spellStart"/>
      <w:r w:rsidRPr="002672D2">
        <w:rPr>
          <w:sz w:val="20"/>
        </w:rPr>
        <w:t>Burrill</w:t>
      </w:r>
      <w:proofErr w:type="spellEnd"/>
      <w:r w:rsidRPr="002672D2">
        <w:rPr>
          <w:sz w:val="20"/>
        </w:rPr>
        <w:t xml:space="preserve">, L. C., et al. 1996. </w:t>
      </w:r>
      <w:proofErr w:type="gramStart"/>
      <w:r w:rsidRPr="002672D2">
        <w:rPr>
          <w:sz w:val="20"/>
        </w:rPr>
        <w:t>Weeds of the West, 5</w:t>
      </w:r>
      <w:r w:rsidRPr="002672D2">
        <w:rPr>
          <w:sz w:val="13"/>
          <w:szCs w:val="13"/>
        </w:rPr>
        <w:t xml:space="preserve">th </w:t>
      </w:r>
      <w:r w:rsidRPr="002672D2">
        <w:rPr>
          <w:sz w:val="20"/>
        </w:rPr>
        <w:t>ed., T.D.</w:t>
      </w:r>
      <w:proofErr w:type="gramEnd"/>
      <w:r w:rsidRPr="002672D2">
        <w:rPr>
          <w:sz w:val="20"/>
        </w:rPr>
        <w:t xml:space="preserve"> </w:t>
      </w:r>
      <w:r>
        <w:rPr>
          <w:sz w:val="20"/>
        </w:rPr>
        <w:tab/>
      </w:r>
      <w:proofErr w:type="gramStart"/>
      <w:r w:rsidRPr="002672D2">
        <w:rPr>
          <w:sz w:val="20"/>
        </w:rPr>
        <w:t>Whitson, editor.</w:t>
      </w:r>
      <w:proofErr w:type="gramEnd"/>
      <w:r w:rsidRPr="002672D2">
        <w:rPr>
          <w:sz w:val="20"/>
        </w:rPr>
        <w:t xml:space="preserve"> </w:t>
      </w:r>
      <w:proofErr w:type="gramStart"/>
      <w:r w:rsidRPr="002672D2">
        <w:rPr>
          <w:sz w:val="20"/>
        </w:rPr>
        <w:t>University of Wyoming.</w:t>
      </w:r>
      <w:proofErr w:type="gramEnd"/>
      <w:r w:rsidRPr="002672D2">
        <w:rPr>
          <w:sz w:val="20"/>
        </w:rPr>
        <w:t xml:space="preserve"> </w:t>
      </w:r>
      <w:proofErr w:type="spellStart"/>
      <w:r w:rsidRPr="002672D2">
        <w:rPr>
          <w:sz w:val="20"/>
        </w:rPr>
        <w:t>Larimie</w:t>
      </w:r>
      <w:proofErr w:type="spellEnd"/>
      <w:r w:rsidRPr="002672D2">
        <w:rPr>
          <w:sz w:val="20"/>
        </w:rPr>
        <w:t xml:space="preserve">, </w:t>
      </w:r>
      <w:r>
        <w:rPr>
          <w:sz w:val="20"/>
        </w:rPr>
        <w:tab/>
      </w:r>
      <w:r w:rsidRPr="002672D2">
        <w:rPr>
          <w:sz w:val="20"/>
        </w:rPr>
        <w:t xml:space="preserve">WY. pp. 482-483. </w:t>
      </w:r>
    </w:p>
    <w:p w:rsidR="002672D2" w:rsidRPr="002672D2" w:rsidRDefault="002672D2" w:rsidP="002672D2">
      <w:pPr>
        <w:autoSpaceDE w:val="0"/>
        <w:autoSpaceDN w:val="0"/>
        <w:adjustRightInd w:val="0"/>
        <w:jc w:val="left"/>
        <w:rPr>
          <w:sz w:val="20"/>
        </w:rPr>
      </w:pPr>
      <w:proofErr w:type="spellStart"/>
      <w:r w:rsidRPr="002672D2">
        <w:rPr>
          <w:sz w:val="20"/>
        </w:rPr>
        <w:t>Cronquist</w:t>
      </w:r>
      <w:proofErr w:type="spellEnd"/>
      <w:r w:rsidRPr="002672D2">
        <w:rPr>
          <w:sz w:val="20"/>
        </w:rPr>
        <w:t xml:space="preserve">, A., A.H. Holmgren, N.H. Holmgren, J.L. </w:t>
      </w:r>
      <w:r>
        <w:rPr>
          <w:sz w:val="20"/>
        </w:rPr>
        <w:tab/>
      </w:r>
      <w:proofErr w:type="spellStart"/>
      <w:r w:rsidRPr="002672D2">
        <w:rPr>
          <w:sz w:val="20"/>
        </w:rPr>
        <w:t>Revcal</w:t>
      </w:r>
      <w:proofErr w:type="spellEnd"/>
      <w:r w:rsidRPr="002672D2">
        <w:rPr>
          <w:sz w:val="20"/>
        </w:rPr>
        <w:t xml:space="preserve">, P.K. Holmgren. 1977. Intermountain Flora, </w:t>
      </w:r>
      <w:r>
        <w:rPr>
          <w:sz w:val="20"/>
        </w:rPr>
        <w:tab/>
      </w:r>
      <w:r w:rsidRPr="002672D2">
        <w:rPr>
          <w:sz w:val="20"/>
        </w:rPr>
        <w:t xml:space="preserve">vol. 6. Columbia University Press, New York. </w:t>
      </w:r>
      <w:proofErr w:type="gramStart"/>
      <w:r w:rsidRPr="002672D2">
        <w:rPr>
          <w:sz w:val="20"/>
        </w:rPr>
        <w:t>pp.</w:t>
      </w:r>
      <w:proofErr w:type="gramEnd"/>
      <w:r w:rsidRPr="002672D2">
        <w:rPr>
          <w:sz w:val="20"/>
        </w:rPr>
        <w:t xml:space="preserve"> </w:t>
      </w:r>
      <w:r>
        <w:rPr>
          <w:sz w:val="20"/>
        </w:rPr>
        <w:tab/>
      </w:r>
      <w:proofErr w:type="gramStart"/>
      <w:r w:rsidRPr="002672D2">
        <w:rPr>
          <w:sz w:val="20"/>
        </w:rPr>
        <w:t>234-235.</w:t>
      </w:r>
      <w:proofErr w:type="gramEnd"/>
      <w:r w:rsidRPr="002672D2">
        <w:rPr>
          <w:sz w:val="20"/>
        </w:rPr>
        <w:t xml:space="preserve"> </w:t>
      </w:r>
    </w:p>
    <w:p w:rsidR="002672D2" w:rsidRPr="002672D2" w:rsidRDefault="002672D2" w:rsidP="002672D2">
      <w:pPr>
        <w:autoSpaceDE w:val="0"/>
        <w:autoSpaceDN w:val="0"/>
        <w:adjustRightInd w:val="0"/>
        <w:jc w:val="left"/>
        <w:rPr>
          <w:sz w:val="20"/>
        </w:rPr>
      </w:pPr>
      <w:proofErr w:type="spellStart"/>
      <w:r w:rsidRPr="002672D2">
        <w:rPr>
          <w:sz w:val="20"/>
        </w:rPr>
        <w:t>Diesburg</w:t>
      </w:r>
      <w:proofErr w:type="spellEnd"/>
      <w:r w:rsidRPr="002672D2">
        <w:rPr>
          <w:sz w:val="20"/>
        </w:rPr>
        <w:t xml:space="preserve">, K.L., et al. 1997. </w:t>
      </w:r>
      <w:proofErr w:type="gramStart"/>
      <w:r w:rsidRPr="002672D2">
        <w:rPr>
          <w:sz w:val="20"/>
        </w:rPr>
        <w:t xml:space="preserve">Species for low-input </w:t>
      </w:r>
      <w:r>
        <w:rPr>
          <w:sz w:val="20"/>
        </w:rPr>
        <w:tab/>
      </w:r>
      <w:r w:rsidRPr="002672D2">
        <w:rPr>
          <w:sz w:val="20"/>
        </w:rPr>
        <w:t>sustainable turf in the U.S. upper Midwest.</w:t>
      </w:r>
      <w:proofErr w:type="gramEnd"/>
      <w:r w:rsidRPr="002672D2">
        <w:rPr>
          <w:sz w:val="20"/>
        </w:rPr>
        <w:t xml:space="preserve"> </w:t>
      </w:r>
      <w:proofErr w:type="spellStart"/>
      <w:proofErr w:type="gramStart"/>
      <w:r w:rsidRPr="002672D2">
        <w:rPr>
          <w:sz w:val="20"/>
        </w:rPr>
        <w:t>Agron</w:t>
      </w:r>
      <w:proofErr w:type="spellEnd"/>
      <w:r w:rsidRPr="002672D2">
        <w:rPr>
          <w:sz w:val="20"/>
        </w:rPr>
        <w:t>.</w:t>
      </w:r>
      <w:proofErr w:type="gramEnd"/>
      <w:r w:rsidRPr="002672D2">
        <w:rPr>
          <w:sz w:val="20"/>
        </w:rPr>
        <w:t xml:space="preserve"> J. </w:t>
      </w:r>
      <w:r>
        <w:rPr>
          <w:sz w:val="20"/>
        </w:rPr>
        <w:tab/>
      </w:r>
      <w:r w:rsidRPr="002672D2">
        <w:rPr>
          <w:sz w:val="20"/>
        </w:rPr>
        <w:t xml:space="preserve">89:690-694. </w:t>
      </w:r>
    </w:p>
    <w:p w:rsidR="002672D2" w:rsidRPr="002672D2" w:rsidRDefault="002672D2" w:rsidP="002672D2">
      <w:pPr>
        <w:autoSpaceDE w:val="0"/>
        <w:autoSpaceDN w:val="0"/>
        <w:adjustRightInd w:val="0"/>
        <w:jc w:val="left"/>
        <w:rPr>
          <w:sz w:val="20"/>
        </w:rPr>
      </w:pPr>
      <w:proofErr w:type="gramStart"/>
      <w:r w:rsidRPr="002672D2">
        <w:rPr>
          <w:sz w:val="20"/>
        </w:rPr>
        <w:t>Gaines, X.M. and D.G. Swan.</w:t>
      </w:r>
      <w:proofErr w:type="gramEnd"/>
      <w:r w:rsidRPr="002672D2">
        <w:rPr>
          <w:sz w:val="20"/>
        </w:rPr>
        <w:t xml:space="preserve"> 1972. Weeds of Eastern </w:t>
      </w:r>
      <w:r>
        <w:rPr>
          <w:sz w:val="20"/>
        </w:rPr>
        <w:tab/>
      </w:r>
      <w:r w:rsidRPr="002672D2">
        <w:rPr>
          <w:sz w:val="20"/>
        </w:rPr>
        <w:t xml:space="preserve">Washington and Adjacent Areas. </w:t>
      </w:r>
      <w:proofErr w:type="gramStart"/>
      <w:r w:rsidRPr="002672D2">
        <w:rPr>
          <w:sz w:val="20"/>
        </w:rPr>
        <w:t xml:space="preserve">C.W. Hill, Spokane, </w:t>
      </w:r>
      <w:r>
        <w:rPr>
          <w:sz w:val="20"/>
        </w:rPr>
        <w:tab/>
      </w:r>
      <w:r w:rsidRPr="002672D2">
        <w:rPr>
          <w:sz w:val="20"/>
        </w:rPr>
        <w:t>WA.</w:t>
      </w:r>
      <w:proofErr w:type="gramEnd"/>
      <w:r w:rsidRPr="002672D2">
        <w:rPr>
          <w:sz w:val="20"/>
        </w:rPr>
        <w:t xml:space="preserve"> pp. 54-55. </w:t>
      </w:r>
    </w:p>
    <w:p w:rsidR="002672D2" w:rsidRPr="002672D2" w:rsidRDefault="002672D2" w:rsidP="002672D2">
      <w:pPr>
        <w:autoSpaceDE w:val="0"/>
        <w:autoSpaceDN w:val="0"/>
        <w:adjustRightInd w:val="0"/>
        <w:jc w:val="left"/>
        <w:rPr>
          <w:sz w:val="20"/>
        </w:rPr>
      </w:pPr>
      <w:proofErr w:type="gramStart"/>
      <w:r w:rsidRPr="002672D2">
        <w:rPr>
          <w:sz w:val="20"/>
        </w:rPr>
        <w:t>Gould, F.W. and R.B. Shaw.</w:t>
      </w:r>
      <w:proofErr w:type="gramEnd"/>
      <w:r w:rsidRPr="002672D2">
        <w:rPr>
          <w:sz w:val="20"/>
        </w:rPr>
        <w:t xml:space="preserve"> 1983. Grass </w:t>
      </w:r>
      <w:proofErr w:type="spellStart"/>
      <w:r w:rsidRPr="002672D2">
        <w:rPr>
          <w:sz w:val="20"/>
        </w:rPr>
        <w:t>Systematics</w:t>
      </w:r>
      <w:proofErr w:type="spellEnd"/>
      <w:r w:rsidRPr="002672D2">
        <w:rPr>
          <w:sz w:val="20"/>
        </w:rPr>
        <w:t>, 2</w:t>
      </w:r>
      <w:r w:rsidRPr="002672D2">
        <w:rPr>
          <w:sz w:val="13"/>
          <w:szCs w:val="13"/>
        </w:rPr>
        <w:t xml:space="preserve">nd </w:t>
      </w:r>
      <w:r>
        <w:rPr>
          <w:sz w:val="13"/>
          <w:szCs w:val="13"/>
        </w:rPr>
        <w:tab/>
      </w:r>
      <w:r w:rsidRPr="002672D2">
        <w:rPr>
          <w:sz w:val="20"/>
        </w:rPr>
        <w:t xml:space="preserve">ed. Texas A &amp; M University Press, College Station, </w:t>
      </w:r>
      <w:r>
        <w:rPr>
          <w:sz w:val="20"/>
        </w:rPr>
        <w:tab/>
      </w:r>
      <w:r w:rsidRPr="002672D2">
        <w:rPr>
          <w:sz w:val="20"/>
        </w:rPr>
        <w:t xml:space="preserve">TX. </w:t>
      </w:r>
      <w:proofErr w:type="gramStart"/>
      <w:r w:rsidRPr="002672D2">
        <w:rPr>
          <w:sz w:val="20"/>
        </w:rPr>
        <w:t>p. 82.</w:t>
      </w:r>
      <w:proofErr w:type="gramEnd"/>
      <w:r w:rsidRPr="002672D2">
        <w:rPr>
          <w:sz w:val="20"/>
        </w:rPr>
        <w:t xml:space="preserve"> </w:t>
      </w:r>
    </w:p>
    <w:p w:rsidR="002672D2" w:rsidRPr="002672D2" w:rsidRDefault="002672D2" w:rsidP="002672D2">
      <w:pPr>
        <w:autoSpaceDE w:val="0"/>
        <w:autoSpaceDN w:val="0"/>
        <w:adjustRightInd w:val="0"/>
        <w:jc w:val="left"/>
        <w:rPr>
          <w:sz w:val="20"/>
        </w:rPr>
      </w:pPr>
      <w:proofErr w:type="spellStart"/>
      <w:r w:rsidRPr="002672D2">
        <w:rPr>
          <w:sz w:val="20"/>
        </w:rPr>
        <w:t>Halperin</w:t>
      </w:r>
      <w:proofErr w:type="spellEnd"/>
      <w:r w:rsidRPr="002672D2">
        <w:rPr>
          <w:sz w:val="20"/>
        </w:rPr>
        <w:t xml:space="preserve">, M. 1933. </w:t>
      </w:r>
      <w:proofErr w:type="gramStart"/>
      <w:r w:rsidRPr="002672D2">
        <w:rPr>
          <w:sz w:val="20"/>
        </w:rPr>
        <w:t xml:space="preserve">The taxonomy and morphology of </w:t>
      </w:r>
      <w:r>
        <w:rPr>
          <w:sz w:val="20"/>
        </w:rPr>
        <w:tab/>
      </w:r>
      <w:r w:rsidRPr="002672D2">
        <w:rPr>
          <w:sz w:val="20"/>
        </w:rPr>
        <w:t xml:space="preserve">bulbous bluegrass, </w:t>
      </w:r>
      <w:proofErr w:type="spellStart"/>
      <w:r w:rsidRPr="002672D2">
        <w:rPr>
          <w:i/>
          <w:iCs/>
          <w:sz w:val="20"/>
        </w:rPr>
        <w:t>Poa</w:t>
      </w:r>
      <w:proofErr w:type="spellEnd"/>
      <w:r w:rsidRPr="002672D2">
        <w:rPr>
          <w:i/>
          <w:iCs/>
          <w:sz w:val="20"/>
        </w:rPr>
        <w:t xml:space="preserve"> </w:t>
      </w:r>
      <w:proofErr w:type="spellStart"/>
      <w:r w:rsidRPr="002672D2">
        <w:rPr>
          <w:i/>
          <w:iCs/>
          <w:sz w:val="20"/>
        </w:rPr>
        <w:t>bulbosa</w:t>
      </w:r>
      <w:proofErr w:type="spellEnd"/>
      <w:r w:rsidRPr="002672D2">
        <w:rPr>
          <w:i/>
          <w:iCs/>
          <w:sz w:val="20"/>
        </w:rPr>
        <w:t xml:space="preserve"> </w:t>
      </w:r>
      <w:proofErr w:type="spellStart"/>
      <w:r w:rsidRPr="002672D2">
        <w:rPr>
          <w:i/>
          <w:iCs/>
          <w:sz w:val="20"/>
        </w:rPr>
        <w:t>vivipara</w:t>
      </w:r>
      <w:proofErr w:type="spellEnd"/>
      <w:r w:rsidRPr="002672D2">
        <w:rPr>
          <w:sz w:val="20"/>
        </w:rPr>
        <w:t>.</w:t>
      </w:r>
      <w:proofErr w:type="gramEnd"/>
      <w:r w:rsidRPr="002672D2">
        <w:rPr>
          <w:sz w:val="20"/>
        </w:rPr>
        <w:t xml:space="preserve"> J. Am. Soc. </w:t>
      </w:r>
      <w:r>
        <w:rPr>
          <w:sz w:val="20"/>
        </w:rPr>
        <w:tab/>
      </w:r>
      <w:proofErr w:type="spellStart"/>
      <w:proofErr w:type="gramStart"/>
      <w:r w:rsidRPr="002672D2">
        <w:rPr>
          <w:sz w:val="20"/>
        </w:rPr>
        <w:t>Agron</w:t>
      </w:r>
      <w:proofErr w:type="spellEnd"/>
      <w:r w:rsidRPr="002672D2">
        <w:rPr>
          <w:sz w:val="20"/>
        </w:rPr>
        <w:t>.</w:t>
      </w:r>
      <w:proofErr w:type="gramEnd"/>
      <w:r w:rsidRPr="002672D2">
        <w:rPr>
          <w:sz w:val="20"/>
        </w:rPr>
        <w:t xml:space="preserve"> 25:408-413. </w:t>
      </w:r>
    </w:p>
    <w:p w:rsidR="002672D2" w:rsidRPr="002672D2" w:rsidRDefault="002672D2" w:rsidP="002672D2">
      <w:pPr>
        <w:autoSpaceDE w:val="0"/>
        <w:autoSpaceDN w:val="0"/>
        <w:adjustRightInd w:val="0"/>
        <w:jc w:val="left"/>
        <w:rPr>
          <w:sz w:val="20"/>
        </w:rPr>
      </w:pPr>
      <w:r w:rsidRPr="002672D2">
        <w:rPr>
          <w:sz w:val="20"/>
        </w:rPr>
        <w:t xml:space="preserve">Hitchcock, A.S. 1971. </w:t>
      </w:r>
      <w:proofErr w:type="gramStart"/>
      <w:r w:rsidRPr="002672D2">
        <w:rPr>
          <w:sz w:val="20"/>
        </w:rPr>
        <w:t xml:space="preserve">Manual of the Grasses of the </w:t>
      </w:r>
      <w:r>
        <w:rPr>
          <w:sz w:val="20"/>
        </w:rPr>
        <w:tab/>
      </w:r>
      <w:r w:rsidRPr="002672D2">
        <w:rPr>
          <w:sz w:val="20"/>
        </w:rPr>
        <w:t>United States, 2</w:t>
      </w:r>
      <w:r w:rsidRPr="002672D2">
        <w:rPr>
          <w:sz w:val="13"/>
          <w:szCs w:val="13"/>
        </w:rPr>
        <w:t xml:space="preserve">nd </w:t>
      </w:r>
      <w:r w:rsidRPr="002672D2">
        <w:rPr>
          <w:sz w:val="20"/>
        </w:rPr>
        <w:t>ed., vol. 1.</w:t>
      </w:r>
      <w:proofErr w:type="gramEnd"/>
      <w:r w:rsidRPr="002672D2">
        <w:rPr>
          <w:sz w:val="20"/>
        </w:rPr>
        <w:t xml:space="preserve"> </w:t>
      </w:r>
      <w:proofErr w:type="gramStart"/>
      <w:r w:rsidRPr="002672D2">
        <w:rPr>
          <w:sz w:val="20"/>
        </w:rPr>
        <w:t xml:space="preserve">Dover Publications, </w:t>
      </w:r>
      <w:r>
        <w:rPr>
          <w:sz w:val="20"/>
        </w:rPr>
        <w:tab/>
      </w:r>
      <w:r w:rsidRPr="002672D2">
        <w:rPr>
          <w:sz w:val="20"/>
        </w:rPr>
        <w:t>New York.</w:t>
      </w:r>
      <w:proofErr w:type="gramEnd"/>
      <w:r w:rsidRPr="002672D2">
        <w:rPr>
          <w:sz w:val="20"/>
        </w:rPr>
        <w:t xml:space="preserve"> </w:t>
      </w:r>
      <w:proofErr w:type="gramStart"/>
      <w:r w:rsidRPr="002672D2">
        <w:rPr>
          <w:sz w:val="20"/>
        </w:rPr>
        <w:t>p. 122.</w:t>
      </w:r>
      <w:proofErr w:type="gramEnd"/>
      <w:r w:rsidRPr="002672D2">
        <w:rPr>
          <w:sz w:val="20"/>
        </w:rPr>
        <w:t xml:space="preserve"> </w:t>
      </w:r>
    </w:p>
    <w:p w:rsidR="002672D2" w:rsidRPr="002672D2" w:rsidRDefault="002672D2" w:rsidP="002672D2">
      <w:pPr>
        <w:autoSpaceDE w:val="0"/>
        <w:autoSpaceDN w:val="0"/>
        <w:adjustRightInd w:val="0"/>
        <w:jc w:val="left"/>
        <w:rPr>
          <w:sz w:val="20"/>
        </w:rPr>
      </w:pPr>
      <w:proofErr w:type="gramStart"/>
      <w:r w:rsidRPr="002672D2">
        <w:rPr>
          <w:sz w:val="20"/>
        </w:rPr>
        <w:t>Hull, A.C. and G. Stewart.</w:t>
      </w:r>
      <w:proofErr w:type="gramEnd"/>
      <w:r w:rsidRPr="002672D2">
        <w:rPr>
          <w:sz w:val="20"/>
        </w:rPr>
        <w:t xml:space="preserve"> 1948. Replacing </w:t>
      </w:r>
      <w:proofErr w:type="spellStart"/>
      <w:r w:rsidRPr="002672D2">
        <w:rPr>
          <w:sz w:val="20"/>
        </w:rPr>
        <w:t>cheatgrass</w:t>
      </w:r>
      <w:proofErr w:type="spellEnd"/>
      <w:r w:rsidRPr="002672D2">
        <w:rPr>
          <w:sz w:val="20"/>
        </w:rPr>
        <w:t xml:space="preserve"> by </w:t>
      </w:r>
      <w:r>
        <w:rPr>
          <w:sz w:val="20"/>
        </w:rPr>
        <w:tab/>
      </w:r>
      <w:r w:rsidRPr="002672D2">
        <w:rPr>
          <w:sz w:val="20"/>
        </w:rPr>
        <w:t xml:space="preserve">reseeding with perennial grass on southern Idaho </w:t>
      </w:r>
      <w:r>
        <w:rPr>
          <w:sz w:val="20"/>
        </w:rPr>
        <w:tab/>
      </w:r>
      <w:r w:rsidRPr="002672D2">
        <w:rPr>
          <w:sz w:val="20"/>
        </w:rPr>
        <w:t xml:space="preserve">ranges. J. Am. Soc. </w:t>
      </w:r>
      <w:proofErr w:type="spellStart"/>
      <w:r w:rsidRPr="002672D2">
        <w:rPr>
          <w:sz w:val="20"/>
        </w:rPr>
        <w:t>Agron</w:t>
      </w:r>
      <w:proofErr w:type="spellEnd"/>
      <w:r w:rsidRPr="002672D2">
        <w:rPr>
          <w:sz w:val="20"/>
        </w:rPr>
        <w:t xml:space="preserve">. 40:694-703. </w:t>
      </w:r>
    </w:p>
    <w:p w:rsidR="002672D2" w:rsidRPr="002672D2" w:rsidRDefault="002672D2" w:rsidP="002672D2">
      <w:pPr>
        <w:autoSpaceDE w:val="0"/>
        <w:autoSpaceDN w:val="0"/>
        <w:adjustRightInd w:val="0"/>
        <w:jc w:val="left"/>
        <w:rPr>
          <w:sz w:val="20"/>
        </w:rPr>
      </w:pPr>
      <w:proofErr w:type="gramStart"/>
      <w:r w:rsidRPr="002672D2">
        <w:rPr>
          <w:sz w:val="20"/>
        </w:rPr>
        <w:t xml:space="preserve">Locke, K. and L.C. </w:t>
      </w:r>
      <w:proofErr w:type="spellStart"/>
      <w:r w:rsidRPr="002672D2">
        <w:rPr>
          <w:sz w:val="20"/>
        </w:rPr>
        <w:t>Burrill</w:t>
      </w:r>
      <w:proofErr w:type="spellEnd"/>
      <w:r w:rsidRPr="002672D2">
        <w:rPr>
          <w:sz w:val="20"/>
        </w:rPr>
        <w:t>.</w:t>
      </w:r>
      <w:proofErr w:type="gramEnd"/>
      <w:r w:rsidRPr="002672D2">
        <w:rPr>
          <w:sz w:val="20"/>
        </w:rPr>
        <w:t xml:space="preserve"> 1994. Bulbous Bluegrass. </w:t>
      </w:r>
      <w:r>
        <w:rPr>
          <w:sz w:val="20"/>
        </w:rPr>
        <w:tab/>
      </w:r>
      <w:proofErr w:type="gramStart"/>
      <w:r w:rsidRPr="002672D2">
        <w:rPr>
          <w:sz w:val="20"/>
        </w:rPr>
        <w:t>Pacific Northwest Extension Publication.</w:t>
      </w:r>
      <w:proofErr w:type="gramEnd"/>
      <w:r w:rsidRPr="002672D2">
        <w:rPr>
          <w:sz w:val="20"/>
        </w:rPr>
        <w:t xml:space="preserve"> </w:t>
      </w:r>
    </w:p>
    <w:p w:rsidR="002672D2" w:rsidRPr="002672D2" w:rsidRDefault="00EC0FA9" w:rsidP="002672D2">
      <w:pPr>
        <w:autoSpaceDE w:val="0"/>
        <w:autoSpaceDN w:val="0"/>
        <w:adjustRightInd w:val="0"/>
        <w:jc w:val="left"/>
        <w:rPr>
          <w:sz w:val="20"/>
        </w:rPr>
      </w:pPr>
      <w:r>
        <w:rPr>
          <w:sz w:val="20"/>
        </w:rPr>
        <w:br w:type="column"/>
      </w:r>
      <w:proofErr w:type="gramStart"/>
      <w:r w:rsidR="002672D2" w:rsidRPr="002672D2">
        <w:rPr>
          <w:sz w:val="20"/>
        </w:rPr>
        <w:lastRenderedPageBreak/>
        <w:t xml:space="preserve">Novak, S.J. and A.Y. </w:t>
      </w:r>
      <w:proofErr w:type="spellStart"/>
      <w:r w:rsidR="002672D2" w:rsidRPr="002672D2">
        <w:rPr>
          <w:sz w:val="20"/>
        </w:rPr>
        <w:t>Welfley</w:t>
      </w:r>
      <w:proofErr w:type="spellEnd"/>
      <w:r w:rsidR="002672D2" w:rsidRPr="002672D2">
        <w:rPr>
          <w:sz w:val="20"/>
        </w:rPr>
        <w:t>.</w:t>
      </w:r>
      <w:proofErr w:type="gramEnd"/>
      <w:r w:rsidR="002672D2" w:rsidRPr="002672D2">
        <w:rPr>
          <w:sz w:val="20"/>
        </w:rPr>
        <w:t xml:space="preserve"> 1997. Genetic diversity in </w:t>
      </w:r>
      <w:r w:rsidR="002672D2">
        <w:rPr>
          <w:sz w:val="20"/>
        </w:rPr>
        <w:tab/>
      </w:r>
      <w:r w:rsidR="002672D2" w:rsidRPr="002672D2">
        <w:rPr>
          <w:sz w:val="20"/>
        </w:rPr>
        <w:t xml:space="preserve">the introduced </w:t>
      </w:r>
      <w:proofErr w:type="spellStart"/>
      <w:r w:rsidR="002672D2" w:rsidRPr="002672D2">
        <w:rPr>
          <w:sz w:val="20"/>
        </w:rPr>
        <w:t>clonal</w:t>
      </w:r>
      <w:proofErr w:type="spellEnd"/>
      <w:r w:rsidR="002672D2" w:rsidRPr="002672D2">
        <w:rPr>
          <w:sz w:val="20"/>
        </w:rPr>
        <w:t xml:space="preserve"> grass </w:t>
      </w:r>
      <w:proofErr w:type="spellStart"/>
      <w:r w:rsidR="002672D2" w:rsidRPr="002672D2">
        <w:rPr>
          <w:i/>
          <w:iCs/>
          <w:sz w:val="20"/>
        </w:rPr>
        <w:t>Poa</w:t>
      </w:r>
      <w:proofErr w:type="spellEnd"/>
      <w:r w:rsidR="002672D2" w:rsidRPr="002672D2">
        <w:rPr>
          <w:i/>
          <w:iCs/>
          <w:sz w:val="20"/>
        </w:rPr>
        <w:t xml:space="preserve"> </w:t>
      </w:r>
      <w:proofErr w:type="spellStart"/>
      <w:r w:rsidR="002672D2" w:rsidRPr="002672D2">
        <w:rPr>
          <w:i/>
          <w:iCs/>
          <w:sz w:val="20"/>
        </w:rPr>
        <w:t>bulbosa</w:t>
      </w:r>
      <w:proofErr w:type="spellEnd"/>
      <w:r w:rsidR="002672D2" w:rsidRPr="002672D2">
        <w:rPr>
          <w:i/>
          <w:iCs/>
          <w:sz w:val="20"/>
        </w:rPr>
        <w:t xml:space="preserve"> </w:t>
      </w:r>
      <w:r w:rsidR="002672D2" w:rsidRPr="002672D2">
        <w:rPr>
          <w:sz w:val="20"/>
        </w:rPr>
        <w:t xml:space="preserve">(Bulbous </w:t>
      </w:r>
      <w:r w:rsidR="002672D2">
        <w:rPr>
          <w:sz w:val="20"/>
        </w:rPr>
        <w:tab/>
      </w:r>
      <w:r w:rsidR="002672D2" w:rsidRPr="002672D2">
        <w:rPr>
          <w:sz w:val="20"/>
        </w:rPr>
        <w:t xml:space="preserve">bluegrass). Northwest Sci. 71:271-280. </w:t>
      </w:r>
    </w:p>
    <w:p w:rsidR="002672D2" w:rsidRPr="002672D2" w:rsidRDefault="002672D2" w:rsidP="002672D2">
      <w:pPr>
        <w:autoSpaceDE w:val="0"/>
        <w:autoSpaceDN w:val="0"/>
        <w:adjustRightInd w:val="0"/>
        <w:jc w:val="left"/>
        <w:rPr>
          <w:sz w:val="20"/>
        </w:rPr>
      </w:pPr>
      <w:proofErr w:type="gramStart"/>
      <w:r w:rsidRPr="002672D2">
        <w:rPr>
          <w:sz w:val="20"/>
        </w:rPr>
        <w:t>United States Department of Agriculture.</w:t>
      </w:r>
      <w:proofErr w:type="gramEnd"/>
      <w:r w:rsidRPr="002672D2">
        <w:rPr>
          <w:sz w:val="20"/>
        </w:rPr>
        <w:t xml:space="preserve"> 1948. The </w:t>
      </w:r>
      <w:r w:rsidR="00EC0FA9">
        <w:rPr>
          <w:sz w:val="20"/>
        </w:rPr>
        <w:tab/>
      </w:r>
      <w:r w:rsidRPr="002672D2">
        <w:rPr>
          <w:sz w:val="20"/>
        </w:rPr>
        <w:t xml:space="preserve">Yearbook of Agriculture: Grass. </w:t>
      </w:r>
      <w:proofErr w:type="gramStart"/>
      <w:r w:rsidRPr="002672D2">
        <w:rPr>
          <w:sz w:val="20"/>
        </w:rPr>
        <w:t xml:space="preserve">U.S. Government </w:t>
      </w:r>
      <w:r w:rsidR="00EC0FA9">
        <w:rPr>
          <w:sz w:val="20"/>
        </w:rPr>
        <w:tab/>
      </w:r>
      <w:r w:rsidRPr="002672D2">
        <w:rPr>
          <w:sz w:val="20"/>
        </w:rPr>
        <w:t>Printing Office, Washington D.C. pp. 687 – 688.</w:t>
      </w:r>
      <w:proofErr w:type="gramEnd"/>
      <w:r w:rsidRPr="002672D2">
        <w:rPr>
          <w:sz w:val="20"/>
        </w:rPr>
        <w:t xml:space="preserve"> </w:t>
      </w:r>
    </w:p>
    <w:p w:rsidR="002672D2" w:rsidRPr="002672D2" w:rsidRDefault="002672D2" w:rsidP="002672D2">
      <w:pPr>
        <w:autoSpaceDE w:val="0"/>
        <w:autoSpaceDN w:val="0"/>
        <w:adjustRightInd w:val="0"/>
        <w:jc w:val="left"/>
        <w:rPr>
          <w:sz w:val="20"/>
        </w:rPr>
      </w:pPr>
      <w:proofErr w:type="spellStart"/>
      <w:proofErr w:type="gramStart"/>
      <w:r w:rsidRPr="002672D2">
        <w:rPr>
          <w:sz w:val="20"/>
        </w:rPr>
        <w:t>Vinall</w:t>
      </w:r>
      <w:proofErr w:type="spellEnd"/>
      <w:r w:rsidRPr="002672D2">
        <w:rPr>
          <w:sz w:val="20"/>
        </w:rPr>
        <w:t>, H.N., and H.L. Westover.</w:t>
      </w:r>
      <w:proofErr w:type="gramEnd"/>
      <w:r w:rsidRPr="002672D2">
        <w:rPr>
          <w:sz w:val="20"/>
        </w:rPr>
        <w:t xml:space="preserve"> 1928. Bulbous </w:t>
      </w:r>
      <w:r w:rsidR="00EC0FA9">
        <w:rPr>
          <w:sz w:val="20"/>
        </w:rPr>
        <w:tab/>
      </w:r>
      <w:r w:rsidRPr="002672D2">
        <w:rPr>
          <w:sz w:val="20"/>
        </w:rPr>
        <w:t xml:space="preserve">bluegrass, </w:t>
      </w:r>
      <w:proofErr w:type="spellStart"/>
      <w:r w:rsidRPr="002672D2">
        <w:rPr>
          <w:i/>
          <w:iCs/>
          <w:sz w:val="20"/>
        </w:rPr>
        <w:t>Poa</w:t>
      </w:r>
      <w:proofErr w:type="spellEnd"/>
      <w:r w:rsidRPr="002672D2">
        <w:rPr>
          <w:i/>
          <w:iCs/>
          <w:sz w:val="20"/>
        </w:rPr>
        <w:t xml:space="preserve"> </w:t>
      </w:r>
      <w:proofErr w:type="spellStart"/>
      <w:r w:rsidRPr="002672D2">
        <w:rPr>
          <w:i/>
          <w:iCs/>
          <w:sz w:val="20"/>
        </w:rPr>
        <w:t>bulbosa</w:t>
      </w:r>
      <w:proofErr w:type="spellEnd"/>
      <w:r w:rsidRPr="002672D2">
        <w:rPr>
          <w:sz w:val="20"/>
        </w:rPr>
        <w:t xml:space="preserve">. J. Am. Soc. </w:t>
      </w:r>
      <w:proofErr w:type="spellStart"/>
      <w:r w:rsidRPr="002672D2">
        <w:rPr>
          <w:sz w:val="20"/>
        </w:rPr>
        <w:t>Agron</w:t>
      </w:r>
      <w:proofErr w:type="spellEnd"/>
      <w:r w:rsidRPr="002672D2">
        <w:rPr>
          <w:sz w:val="20"/>
        </w:rPr>
        <w:t xml:space="preserve">. </w:t>
      </w:r>
      <w:proofErr w:type="gramStart"/>
      <w:r w:rsidRPr="002672D2">
        <w:rPr>
          <w:sz w:val="20"/>
        </w:rPr>
        <w:t>20:394-</w:t>
      </w:r>
      <w:r w:rsidR="00EC0FA9">
        <w:rPr>
          <w:sz w:val="20"/>
        </w:rPr>
        <w:tab/>
      </w:r>
      <w:r w:rsidRPr="002672D2">
        <w:rPr>
          <w:sz w:val="20"/>
        </w:rPr>
        <w:t>399.</w:t>
      </w:r>
      <w:proofErr w:type="gramEnd"/>
      <w:r w:rsidRPr="002672D2">
        <w:rPr>
          <w:sz w:val="20"/>
        </w:rPr>
        <w:t xml:space="preserve"> </w:t>
      </w:r>
    </w:p>
    <w:p w:rsidR="002672D2" w:rsidRDefault="002672D2" w:rsidP="002672D2">
      <w:pPr>
        <w:pStyle w:val="BodytextNRCS"/>
        <w:tabs>
          <w:tab w:val="clear" w:pos="2430"/>
        </w:tabs>
        <w:rPr>
          <w:color w:val="000000"/>
        </w:rPr>
      </w:pPr>
      <w:proofErr w:type="spellStart"/>
      <w:r w:rsidRPr="002672D2">
        <w:t>Youngner</w:t>
      </w:r>
      <w:proofErr w:type="spellEnd"/>
      <w:r w:rsidRPr="002672D2">
        <w:t xml:space="preserve">, V.B. 1960. Environmental control of initiation </w:t>
      </w:r>
      <w:r w:rsidR="00EC0FA9">
        <w:tab/>
      </w:r>
      <w:r w:rsidRPr="002672D2">
        <w:t>of the inflorescence, reproductive structures</w:t>
      </w:r>
    </w:p>
    <w:p w:rsidR="002672D2" w:rsidRPr="002672D2" w:rsidRDefault="00EC0FA9" w:rsidP="002672D2">
      <w:pPr>
        <w:autoSpaceDE w:val="0"/>
        <w:autoSpaceDN w:val="0"/>
        <w:adjustRightInd w:val="0"/>
        <w:jc w:val="left"/>
        <w:rPr>
          <w:color w:val="000000"/>
          <w:sz w:val="20"/>
        </w:rPr>
      </w:pPr>
      <w:r>
        <w:rPr>
          <w:color w:val="000000"/>
          <w:sz w:val="20"/>
        </w:rPr>
        <w:tab/>
      </w:r>
      <w:proofErr w:type="gramStart"/>
      <w:r w:rsidR="002672D2" w:rsidRPr="002672D2">
        <w:rPr>
          <w:color w:val="000000"/>
          <w:sz w:val="20"/>
        </w:rPr>
        <w:t>and</w:t>
      </w:r>
      <w:proofErr w:type="gramEnd"/>
      <w:r w:rsidR="002672D2" w:rsidRPr="002672D2">
        <w:rPr>
          <w:color w:val="000000"/>
          <w:sz w:val="20"/>
        </w:rPr>
        <w:t xml:space="preserve"> proliferations in </w:t>
      </w:r>
      <w:proofErr w:type="spellStart"/>
      <w:r w:rsidR="002672D2" w:rsidRPr="002672D2">
        <w:rPr>
          <w:i/>
          <w:iCs/>
          <w:color w:val="000000"/>
          <w:sz w:val="20"/>
        </w:rPr>
        <w:t>Poa</w:t>
      </w:r>
      <w:proofErr w:type="spellEnd"/>
      <w:r w:rsidR="002672D2" w:rsidRPr="002672D2">
        <w:rPr>
          <w:i/>
          <w:iCs/>
          <w:color w:val="000000"/>
          <w:sz w:val="20"/>
        </w:rPr>
        <w:t xml:space="preserve"> </w:t>
      </w:r>
      <w:proofErr w:type="spellStart"/>
      <w:r w:rsidR="002672D2" w:rsidRPr="002672D2">
        <w:rPr>
          <w:i/>
          <w:iCs/>
          <w:color w:val="000000"/>
          <w:sz w:val="20"/>
        </w:rPr>
        <w:t>bulbosa</w:t>
      </w:r>
      <w:proofErr w:type="spellEnd"/>
      <w:r w:rsidR="002672D2" w:rsidRPr="002672D2">
        <w:rPr>
          <w:color w:val="000000"/>
          <w:sz w:val="20"/>
        </w:rPr>
        <w:t xml:space="preserve">. Am. J. Bot. </w:t>
      </w:r>
      <w:r>
        <w:rPr>
          <w:color w:val="000000"/>
          <w:sz w:val="20"/>
        </w:rPr>
        <w:tab/>
      </w:r>
      <w:r w:rsidR="002672D2" w:rsidRPr="002672D2">
        <w:rPr>
          <w:color w:val="000000"/>
          <w:sz w:val="20"/>
        </w:rPr>
        <w:t xml:space="preserve">47:753-757. </w:t>
      </w:r>
    </w:p>
    <w:p w:rsidR="002672D2" w:rsidRPr="002672D2" w:rsidRDefault="002672D2" w:rsidP="002672D2">
      <w:pPr>
        <w:autoSpaceDE w:val="0"/>
        <w:autoSpaceDN w:val="0"/>
        <w:adjustRightInd w:val="0"/>
        <w:jc w:val="left"/>
        <w:rPr>
          <w:color w:val="000000"/>
          <w:sz w:val="20"/>
        </w:rPr>
      </w:pPr>
      <w:proofErr w:type="spellStart"/>
      <w:proofErr w:type="gramStart"/>
      <w:r w:rsidRPr="002672D2">
        <w:rPr>
          <w:color w:val="000000"/>
          <w:sz w:val="20"/>
        </w:rPr>
        <w:t>Youngner</w:t>
      </w:r>
      <w:proofErr w:type="spellEnd"/>
      <w:r w:rsidRPr="002672D2">
        <w:rPr>
          <w:color w:val="000000"/>
          <w:sz w:val="20"/>
        </w:rPr>
        <w:t xml:space="preserve">, V.B. and C.M. </w:t>
      </w:r>
      <w:proofErr w:type="spellStart"/>
      <w:r w:rsidRPr="002672D2">
        <w:rPr>
          <w:color w:val="000000"/>
          <w:sz w:val="20"/>
        </w:rPr>
        <w:t>McKell</w:t>
      </w:r>
      <w:proofErr w:type="spellEnd"/>
      <w:r w:rsidRPr="002672D2">
        <w:rPr>
          <w:color w:val="000000"/>
          <w:sz w:val="20"/>
        </w:rPr>
        <w:t>.</w:t>
      </w:r>
      <w:proofErr w:type="gramEnd"/>
      <w:r w:rsidRPr="002672D2">
        <w:rPr>
          <w:color w:val="000000"/>
          <w:sz w:val="20"/>
        </w:rPr>
        <w:t xml:space="preserve"> 1972. The Biology </w:t>
      </w:r>
      <w:r w:rsidR="00EC0FA9">
        <w:rPr>
          <w:color w:val="000000"/>
          <w:sz w:val="20"/>
        </w:rPr>
        <w:tab/>
      </w:r>
      <w:r w:rsidRPr="002672D2">
        <w:rPr>
          <w:color w:val="000000"/>
          <w:sz w:val="20"/>
        </w:rPr>
        <w:t xml:space="preserve">and Utilization of Grasses. Academic Press, New </w:t>
      </w:r>
      <w:r w:rsidR="00EC0FA9">
        <w:rPr>
          <w:color w:val="000000"/>
          <w:sz w:val="20"/>
        </w:rPr>
        <w:tab/>
      </w:r>
      <w:r w:rsidRPr="002672D2">
        <w:rPr>
          <w:color w:val="000000"/>
          <w:sz w:val="20"/>
        </w:rPr>
        <w:t xml:space="preserve">York. pp. 390-391. </w:t>
      </w:r>
    </w:p>
    <w:p w:rsidR="00EC0FA9" w:rsidRDefault="00EC0FA9" w:rsidP="002672D2">
      <w:pPr>
        <w:autoSpaceDE w:val="0"/>
        <w:autoSpaceDN w:val="0"/>
        <w:adjustRightInd w:val="0"/>
        <w:jc w:val="left"/>
        <w:rPr>
          <w:b/>
          <w:bCs/>
          <w:color w:val="000000"/>
          <w:sz w:val="20"/>
        </w:rPr>
      </w:pP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Prepared By: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Pamela </w:t>
      </w:r>
      <w:proofErr w:type="spellStart"/>
      <w:r w:rsidRPr="002672D2">
        <w:rPr>
          <w:i/>
          <w:iCs/>
          <w:color w:val="000000"/>
          <w:sz w:val="20"/>
        </w:rPr>
        <w:t>Scheinost</w:t>
      </w:r>
      <w:proofErr w:type="spellEnd"/>
      <w:r w:rsidRPr="002672D2">
        <w:rPr>
          <w:i/>
          <w:iCs/>
          <w:color w:val="000000"/>
          <w:sz w:val="20"/>
        </w:rPr>
        <w:t xml:space="preserve">, </w:t>
      </w:r>
      <w:r w:rsidRPr="002672D2">
        <w:rPr>
          <w:color w:val="000000"/>
          <w:sz w:val="20"/>
        </w:rPr>
        <w:t xml:space="preserve">USDA NRCS Plant Materials Center, Pullman, Washington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Mark Stannard, </w:t>
      </w:r>
      <w:r w:rsidRPr="002672D2">
        <w:rPr>
          <w:color w:val="000000"/>
          <w:sz w:val="20"/>
        </w:rPr>
        <w:t xml:space="preserve">USDA NRCS Plant Materials Center, Pullman, Washington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Dan Ogle, </w:t>
      </w:r>
      <w:r w:rsidRPr="002672D2">
        <w:rPr>
          <w:color w:val="000000"/>
          <w:sz w:val="20"/>
        </w:rPr>
        <w:t xml:space="preserve">USDA NRCS, Boise, ID </w:t>
      </w:r>
    </w:p>
    <w:p w:rsidR="002672D2" w:rsidRPr="002672D2" w:rsidRDefault="002672D2" w:rsidP="002672D2">
      <w:pPr>
        <w:autoSpaceDE w:val="0"/>
        <w:autoSpaceDN w:val="0"/>
        <w:adjustRightInd w:val="0"/>
        <w:jc w:val="left"/>
        <w:rPr>
          <w:color w:val="000000"/>
          <w:sz w:val="20"/>
        </w:rPr>
      </w:pPr>
      <w:r w:rsidRPr="002672D2">
        <w:rPr>
          <w:b/>
          <w:bCs/>
          <w:color w:val="000000"/>
          <w:sz w:val="20"/>
        </w:rPr>
        <w:t xml:space="preserve">Species Coordinator: </w:t>
      </w:r>
    </w:p>
    <w:p w:rsidR="002672D2" w:rsidRPr="002672D2" w:rsidRDefault="002672D2" w:rsidP="002672D2">
      <w:pPr>
        <w:autoSpaceDE w:val="0"/>
        <w:autoSpaceDN w:val="0"/>
        <w:adjustRightInd w:val="0"/>
        <w:jc w:val="left"/>
        <w:rPr>
          <w:color w:val="000000"/>
          <w:sz w:val="20"/>
        </w:rPr>
      </w:pPr>
      <w:r w:rsidRPr="002672D2">
        <w:rPr>
          <w:i/>
          <w:iCs/>
          <w:color w:val="000000"/>
          <w:sz w:val="20"/>
        </w:rPr>
        <w:t xml:space="preserve">Pamela </w:t>
      </w:r>
      <w:proofErr w:type="spellStart"/>
      <w:r w:rsidRPr="002672D2">
        <w:rPr>
          <w:i/>
          <w:iCs/>
          <w:color w:val="000000"/>
          <w:sz w:val="20"/>
        </w:rPr>
        <w:t>Scheinost</w:t>
      </w:r>
      <w:proofErr w:type="spellEnd"/>
      <w:r w:rsidRPr="002672D2">
        <w:rPr>
          <w:i/>
          <w:iCs/>
          <w:color w:val="000000"/>
          <w:sz w:val="20"/>
        </w:rPr>
        <w:t xml:space="preserve">, </w:t>
      </w:r>
      <w:r w:rsidRPr="002672D2">
        <w:rPr>
          <w:color w:val="000000"/>
          <w:sz w:val="20"/>
        </w:rPr>
        <w:t xml:space="preserve">USDA NRCS Plant Materials Center, Pullman, Washington </w:t>
      </w:r>
    </w:p>
    <w:p w:rsidR="000E3166" w:rsidRPr="00705B62" w:rsidRDefault="000E3166" w:rsidP="002672D2">
      <w:pPr>
        <w:pStyle w:val="NRCSBodyText"/>
        <w:spacing w:before="240"/>
        <w:rPr>
          <w:i/>
        </w:rPr>
      </w:pPr>
      <w:r w:rsidRPr="000E3166">
        <w:t xml:space="preserve">Published </w:t>
      </w:r>
      <w:r w:rsidR="009C6A16">
        <w:t>August, 2008</w:t>
      </w:r>
    </w:p>
    <w:p w:rsidR="00EC0FA9" w:rsidRPr="00EC0FA9" w:rsidRDefault="00EC0FA9" w:rsidP="00EC0FA9">
      <w:pPr>
        <w:pStyle w:val="NRCSBodyText"/>
        <w:spacing w:before="240"/>
      </w:pPr>
      <w:r w:rsidRPr="00EC0FA9">
        <w:t xml:space="preserve">Edited: 072908 </w:t>
      </w:r>
      <w:proofErr w:type="spellStart"/>
      <w:r w:rsidRPr="00EC0FA9">
        <w:t>ps</w:t>
      </w:r>
      <w:proofErr w:type="spellEnd"/>
      <w:r w:rsidRPr="00EC0FA9">
        <w:t xml:space="preserve">; 072908 ms; 073008 </w:t>
      </w:r>
      <w:proofErr w:type="spellStart"/>
      <w:r w:rsidRPr="00EC0FA9">
        <w:t>dgo</w:t>
      </w:r>
      <w:proofErr w:type="spellEnd"/>
      <w:r w:rsidRPr="00EC0FA9">
        <w:t xml:space="preserve">; </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p>
    <w:p w:rsidR="00EC0FA9" w:rsidRDefault="00EC0FA9" w:rsidP="009D31AF">
      <w:pPr>
        <w:pStyle w:val="Footer"/>
        <w:rPr>
          <w:b/>
          <w:color w:val="00A886"/>
          <w:sz w:val="20"/>
        </w:rPr>
      </w:pPr>
    </w:p>
    <w:p w:rsidR="009D31AF" w:rsidRDefault="009D31AF" w:rsidP="009D31AF">
      <w:pPr>
        <w:pStyle w:val="Footer"/>
        <w:rPr>
          <w:b/>
          <w:color w:val="00A886"/>
          <w:sz w:val="20"/>
        </w:rPr>
      </w:pPr>
    </w:p>
    <w:p w:rsidR="009D31AF" w:rsidRDefault="009D31AF" w:rsidP="009D31AF">
      <w:pPr>
        <w:pStyle w:val="Footer"/>
        <w:rPr>
          <w:b/>
          <w:color w:val="00A886"/>
          <w:sz w:val="20"/>
        </w:rPr>
      </w:pPr>
    </w:p>
    <w:p w:rsidR="009D31AF" w:rsidRDefault="009D31AF" w:rsidP="009D31AF">
      <w:pPr>
        <w:pStyle w:val="Footer"/>
        <w:rPr>
          <w:b/>
          <w:color w:val="00A886"/>
          <w:sz w:val="20"/>
        </w:rPr>
      </w:pPr>
    </w:p>
    <w:p w:rsidR="00061FD0" w:rsidRPr="00061FD0" w:rsidRDefault="007C2D43" w:rsidP="009D31AF">
      <w:pPr>
        <w:pStyle w:val="Footer"/>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233" w:rsidRDefault="003A2233">
      <w:r>
        <w:separator/>
      </w:r>
    </w:p>
  </w:endnote>
  <w:endnote w:type="continuationSeparator" w:id="0">
    <w:p w:rsidR="003A2233" w:rsidRDefault="003A22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233" w:rsidRDefault="003A2233">
      <w:r>
        <w:separator/>
      </w:r>
    </w:p>
  </w:footnote>
  <w:footnote w:type="continuationSeparator" w:id="0">
    <w:p w:rsidR="003A2233" w:rsidRDefault="003A22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5058">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C0FA9"/>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1E0F"/>
    <w:rsid w:val="00222F37"/>
    <w:rsid w:val="00226C58"/>
    <w:rsid w:val="00232453"/>
    <w:rsid w:val="0023556E"/>
    <w:rsid w:val="002375B8"/>
    <w:rsid w:val="00237B9D"/>
    <w:rsid w:val="0026727E"/>
    <w:rsid w:val="002672D2"/>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22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9C6A16"/>
    <w:rsid w:val="009D31AF"/>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014DE"/>
    <w:rsid w:val="00B1076B"/>
    <w:rsid w:val="00B15B14"/>
    <w:rsid w:val="00B65C8B"/>
    <w:rsid w:val="00B67C76"/>
    <w:rsid w:val="00B755F2"/>
    <w:rsid w:val="00B83602"/>
    <w:rsid w:val="00B841F9"/>
    <w:rsid w:val="00B8425D"/>
    <w:rsid w:val="00B93BEF"/>
    <w:rsid w:val="00BB3878"/>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C0FA9"/>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uiPriority w:val="99"/>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Default"/>
    <w:next w:val="Default"/>
    <w:uiPriority w:val="99"/>
    <w:rsid w:val="002672D2"/>
    <w:rPr>
      <w:rFonts w:ascii="Times New Roman" w:hAnsi="Times New Roman" w:cs="Times New Roman"/>
      <w:color w:val="auto"/>
    </w:rPr>
  </w:style>
  <w:style w:type="paragraph" w:styleId="HTMLPreformatted">
    <w:name w:val="HTML Preformatted"/>
    <w:basedOn w:val="Default"/>
    <w:next w:val="Default"/>
    <w:link w:val="HTMLPreformattedChar"/>
    <w:uiPriority w:val="99"/>
    <w:rsid w:val="002672D2"/>
    <w:rPr>
      <w:rFonts w:ascii="Times New Roman" w:hAnsi="Times New Roman" w:cs="Times New Roman"/>
      <w:color w:val="auto"/>
    </w:rPr>
  </w:style>
  <w:style w:type="character" w:customStyle="1" w:styleId="HTMLPreformattedChar">
    <w:name w:val="HTML Preformatted Char"/>
    <w:basedOn w:val="DefaultParagraphFont"/>
    <w:link w:val="HTMLPreformatted"/>
    <w:uiPriority w:val="99"/>
    <w:rsid w:val="002672D2"/>
    <w:rPr>
      <w:sz w:val="24"/>
      <w:szCs w:val="24"/>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35</TotalTime>
  <Pages>3</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12430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BULBOUS BLUEGRASS Plant Guide </dc:title>
  <dc:subject>Poa bulbosa</dc:subject>
  <dc:creator>Pamela Scheinost</dc:creator>
  <cp:keywords>Poa bulbosa, bulbous bluegrass</cp:keywords>
  <cp:lastModifiedBy>Julie DePue</cp:lastModifiedBy>
  <cp:revision>2</cp:revision>
  <cp:lastPrinted>2010-08-20T19:27:00Z</cp:lastPrinted>
  <dcterms:created xsi:type="dcterms:W3CDTF">2011-03-11T13:20:00Z</dcterms:created>
  <dcterms:modified xsi:type="dcterms:W3CDTF">2011-03-11T18:09:00Z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