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6671C" w:rsidP="00E9203C">
      <w:pPr>
        <w:pStyle w:val="Heading1"/>
      </w:pPr>
      <w:r>
        <w:lastRenderedPageBreak/>
        <w:t>CLASPINGleaf pondweed</w:t>
      </w:r>
    </w:p>
    <w:p w:rsidR="00CE7C18" w:rsidRDefault="0086671C" w:rsidP="00CE7C18">
      <w:pPr>
        <w:pStyle w:val="Heading2"/>
      </w:pPr>
      <w:proofErr w:type="spellStart"/>
      <w:r>
        <w:t>Potamogeton</w:t>
      </w:r>
      <w:proofErr w:type="spellEnd"/>
      <w:r>
        <w:t xml:space="preserve"> </w:t>
      </w:r>
      <w:proofErr w:type="spellStart"/>
      <w:r>
        <w:t>perfoliatus</w:t>
      </w:r>
      <w:proofErr w:type="spellEnd"/>
      <w:r>
        <w:t xml:space="preserve"> </w:t>
      </w:r>
      <w:r>
        <w:rPr>
          <w:i w:val="0"/>
        </w:rPr>
        <w:t>L.</w:t>
      </w:r>
    </w:p>
    <w:p w:rsidR="00614036" w:rsidRPr="00A90532" w:rsidRDefault="00614036" w:rsidP="006A29CA">
      <w:pPr>
        <w:pStyle w:val="PlantSymbol"/>
      </w:pPr>
      <w:r w:rsidRPr="00A90532">
        <w:t xml:space="preserve">Plant Symbol = </w:t>
      </w:r>
      <w:r w:rsidR="0086671C">
        <w:t>POPE7</w:t>
      </w:r>
    </w:p>
    <w:p w:rsidR="003759E1" w:rsidRDefault="001478F1" w:rsidP="00302C9A">
      <w:pPr>
        <w:pStyle w:val="BodytextNRCS"/>
        <w:spacing w:before="240"/>
      </w:pPr>
      <w:r w:rsidRPr="00354A89">
        <w:rPr>
          <w:i/>
        </w:rPr>
        <w:t>Contributed by</w:t>
      </w:r>
      <w:r w:rsidRPr="008517EF">
        <w:t>:</w:t>
      </w:r>
      <w:r w:rsidR="007B51E8">
        <w:t xml:space="preserve">  USDA NRCS </w:t>
      </w:r>
      <w:r w:rsidR="00AB1D3C">
        <w:t xml:space="preserve">Norman A. Berg </w:t>
      </w:r>
      <w:r w:rsidR="0086671C">
        <w:t>National Plant Materials Center</w:t>
      </w:r>
    </w:p>
    <w:p w:rsidR="0086671C" w:rsidRDefault="0086671C" w:rsidP="0086671C">
      <w:pPr>
        <w:pStyle w:val="BodytextNRCS"/>
        <w:keepNext/>
        <w:spacing w:before="240"/>
        <w:jc w:val="center"/>
      </w:pPr>
      <w:r w:rsidRPr="0086671C">
        <w:rPr>
          <w:i/>
          <w:noProof/>
          <w:sz w:val="16"/>
          <w:szCs w:val="16"/>
        </w:rPr>
        <w:drawing>
          <wp:inline distT="0" distB="0" distL="0" distR="0">
            <wp:extent cx="1962150" cy="2943225"/>
            <wp:effectExtent l="19050" t="0" r="0" b="0"/>
            <wp:docPr id="2" name="Picture 1" descr="Large Line Drawing of Claspingleaf Pondweed (Potamogeton perfoli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Line Drawing of Potamogeton perfoliatus"/>
                    <pic:cNvPicPr>
                      <a:picLocks noChangeAspect="1" noChangeArrowheads="1"/>
                    </pic:cNvPicPr>
                  </pic:nvPicPr>
                  <pic:blipFill>
                    <a:blip r:embed="rId11" cstate="print"/>
                    <a:srcRect/>
                    <a:stretch>
                      <a:fillRect/>
                    </a:stretch>
                  </pic:blipFill>
                  <pic:spPr bwMode="auto">
                    <a:xfrm>
                      <a:off x="0" y="0"/>
                      <a:ext cx="1962150" cy="2943225"/>
                    </a:xfrm>
                    <a:prstGeom prst="rect">
                      <a:avLst/>
                    </a:prstGeom>
                    <a:noFill/>
                    <a:ln w="9525">
                      <a:noFill/>
                      <a:miter lim="800000"/>
                      <a:headEnd/>
                      <a:tailEnd/>
                    </a:ln>
                  </pic:spPr>
                </pic:pic>
              </a:graphicData>
            </a:graphic>
          </wp:inline>
        </w:drawing>
      </w:r>
    </w:p>
    <w:p w:rsidR="0086671C" w:rsidRDefault="0086671C" w:rsidP="0086671C">
      <w:pPr>
        <w:pStyle w:val="CaptionNRCS"/>
      </w:pPr>
      <w:proofErr w:type="gramStart"/>
      <w:r w:rsidRPr="00D0734F">
        <w:t>USDA-NRCS PLANTS Database / Britton, N.L., and A. Brown.</w:t>
      </w:r>
      <w:proofErr w:type="gramEnd"/>
      <w:r w:rsidRPr="00D0734F">
        <w:t xml:space="preserve"> 1913. </w:t>
      </w:r>
      <w:proofErr w:type="gramStart"/>
      <w:r w:rsidRPr="00D0734F">
        <w:t>An</w:t>
      </w:r>
      <w:proofErr w:type="gramEnd"/>
      <w:r w:rsidRPr="00D0734F">
        <w:t xml:space="preserve"> illustrated flora of the northern United States, Canada and the British Possessions. </w:t>
      </w:r>
      <w:proofErr w:type="gramStart"/>
      <w:r w:rsidRPr="00D0734F">
        <w:t>3 vols. Charles Scribner's Sons, New York.</w:t>
      </w:r>
      <w:proofErr w:type="gramEnd"/>
      <w:r w:rsidRPr="00D0734F">
        <w:t xml:space="preserve"> Vol. 1: 80.</w:t>
      </w:r>
    </w:p>
    <w:p w:rsidR="00712AC4" w:rsidRDefault="000F1970" w:rsidP="007866F3">
      <w:pPr>
        <w:pStyle w:val="Heading3"/>
      </w:pPr>
      <w:r w:rsidRPr="00A90532">
        <w:t>Alternate Names</w:t>
      </w:r>
    </w:p>
    <w:p w:rsidR="003D0BA9" w:rsidRPr="0086671C" w:rsidRDefault="0086671C" w:rsidP="003D0BA9">
      <w:pPr>
        <w:pStyle w:val="NRCSBodyText"/>
      </w:pPr>
      <w:proofErr w:type="gramStart"/>
      <w:r w:rsidRPr="0086671C">
        <w:t>redhead</w:t>
      </w:r>
      <w:proofErr w:type="gramEnd"/>
      <w:r w:rsidRPr="0086671C">
        <w:t xml:space="preserve"> grass</w:t>
      </w:r>
    </w:p>
    <w:p w:rsidR="0086671C" w:rsidRPr="0086671C" w:rsidRDefault="0086671C" w:rsidP="003D0BA9">
      <w:pPr>
        <w:pStyle w:val="NRCSBodyText"/>
      </w:pPr>
      <w:proofErr w:type="gramStart"/>
      <w:r w:rsidRPr="0086671C">
        <w:t>clasping-leaved</w:t>
      </w:r>
      <w:proofErr w:type="gramEnd"/>
      <w:r w:rsidRPr="0086671C">
        <w:t xml:space="preserve"> pondweed</w:t>
      </w:r>
    </w:p>
    <w:p w:rsidR="00CD49CC" w:rsidRDefault="00CD49CC" w:rsidP="007866F3">
      <w:pPr>
        <w:pStyle w:val="Heading3"/>
      </w:pPr>
      <w:r w:rsidRPr="00A90532">
        <w:t>Uses</w:t>
      </w:r>
    </w:p>
    <w:p w:rsidR="0086671C" w:rsidRDefault="0086671C" w:rsidP="0086671C">
      <w:pPr>
        <w:pStyle w:val="BodytextNRCS"/>
      </w:pPr>
      <w:bookmarkStart w:id="0" w:name="OLE_LINK1"/>
      <w:proofErr w:type="spellStart"/>
      <w:r>
        <w:t>Claspingleaf</w:t>
      </w:r>
      <w:proofErr w:type="spellEnd"/>
      <w:r>
        <w:t xml:space="preserve"> pondweed</w:t>
      </w:r>
      <w:r w:rsidRPr="00994FC3">
        <w:t xml:space="preserve"> beds stabilize sediments, reduce shoreline erosion, and provide valuable habitat and food source for a variety of fish, </w:t>
      </w:r>
      <w:proofErr w:type="spellStart"/>
      <w:r w:rsidRPr="00994FC3">
        <w:t>macroinvertebrates</w:t>
      </w:r>
      <w:proofErr w:type="spellEnd"/>
      <w:r w:rsidRPr="00994FC3">
        <w:t xml:space="preserve">, crustaceans and waterfowl (Thayer et al 1975, Lubbers 1990). They provide protection </w:t>
      </w:r>
      <w:r>
        <w:t>from predators</w:t>
      </w:r>
      <w:r w:rsidRPr="00994FC3">
        <w:t>, as well as attract</w:t>
      </w:r>
      <w:r>
        <w:t>ing</w:t>
      </w:r>
      <w:r w:rsidRPr="00994FC3">
        <w:t xml:space="preserve"> epiphytes and zooplankton upon which other species graze, </w:t>
      </w:r>
      <w:r>
        <w:t xml:space="preserve">providing </w:t>
      </w:r>
      <w:r w:rsidRPr="00994FC3">
        <w:t xml:space="preserve">an important link in the food web. </w:t>
      </w:r>
      <w:r>
        <w:t>D</w:t>
      </w:r>
      <w:r w:rsidRPr="00994FC3">
        <w:t xml:space="preserve">uring the breeding season up to 80 percent of </w:t>
      </w:r>
      <w:r>
        <w:t>w</w:t>
      </w:r>
      <w:r w:rsidRPr="00994FC3">
        <w:t>aterfowl</w:t>
      </w:r>
      <w:r>
        <w:t xml:space="preserve">’s </w:t>
      </w:r>
      <w:r w:rsidRPr="00994FC3">
        <w:t>diet i</w:t>
      </w:r>
      <w:r>
        <w:t>s</w:t>
      </w:r>
      <w:r w:rsidRPr="00994FC3">
        <w:t xml:space="preserve"> plant material, much of it aquatic (</w:t>
      </w:r>
      <w:proofErr w:type="spellStart"/>
      <w:r w:rsidRPr="00994FC3">
        <w:t>Kenow</w:t>
      </w:r>
      <w:proofErr w:type="spellEnd"/>
      <w:r w:rsidRPr="00994FC3">
        <w:t xml:space="preserve"> and </w:t>
      </w:r>
      <w:proofErr w:type="spellStart"/>
      <w:r w:rsidRPr="00994FC3">
        <w:t>Rusch</w:t>
      </w:r>
      <w:proofErr w:type="spellEnd"/>
      <w:r w:rsidRPr="00994FC3">
        <w:t xml:space="preserve"> 1996). Migratory waterfowl dive and scavenge for rhizomes buried in sediments of </w:t>
      </w:r>
      <w:proofErr w:type="spellStart"/>
      <w:r>
        <w:t>claspingleaf</w:t>
      </w:r>
      <w:proofErr w:type="spellEnd"/>
      <w:r>
        <w:t xml:space="preserve"> pondweed</w:t>
      </w:r>
      <w:r w:rsidRPr="00994FC3">
        <w:t xml:space="preserve"> beds</w:t>
      </w:r>
      <w:r>
        <w:t xml:space="preserve">. </w:t>
      </w:r>
      <w:r w:rsidRPr="00994FC3">
        <w:t xml:space="preserve"> Another potentially </w:t>
      </w:r>
      <w:r w:rsidRPr="00994FC3">
        <w:lastRenderedPageBreak/>
        <w:t xml:space="preserve">important feature of </w:t>
      </w:r>
      <w:proofErr w:type="spellStart"/>
      <w:r>
        <w:t>claspingleaf</w:t>
      </w:r>
      <w:proofErr w:type="spellEnd"/>
      <w:r>
        <w:t xml:space="preserve"> pondweed</w:t>
      </w:r>
      <w:r w:rsidRPr="00994FC3">
        <w:t xml:space="preserve"> is its antibacterial properties. Bushman and </w:t>
      </w:r>
      <w:proofErr w:type="spellStart"/>
      <w:r w:rsidRPr="00994FC3">
        <w:t>Ailstock</w:t>
      </w:r>
      <w:proofErr w:type="spellEnd"/>
      <w:r w:rsidRPr="00994FC3">
        <w:t xml:space="preserve"> (2006), </w:t>
      </w:r>
      <w:r>
        <w:t xml:space="preserve">found </w:t>
      </w:r>
      <w:proofErr w:type="spellStart"/>
      <w:r>
        <w:t>claspingleaf</w:t>
      </w:r>
      <w:proofErr w:type="spellEnd"/>
      <w:r>
        <w:t xml:space="preserve"> pondweed</w:t>
      </w:r>
      <w:r w:rsidRPr="00994FC3">
        <w:t xml:space="preserve"> exhibited antibacterial </w:t>
      </w:r>
      <w:r>
        <w:t>activity</w:t>
      </w:r>
      <w:r w:rsidRPr="00994FC3">
        <w:t xml:space="preserve"> </w:t>
      </w:r>
      <w:r>
        <w:t>against a</w:t>
      </w:r>
      <w:r w:rsidRPr="00994FC3">
        <w:t xml:space="preserve"> number of different strains of bacteria. This could be critical for the health of the </w:t>
      </w:r>
      <w:r>
        <w:t>organisms</w:t>
      </w:r>
      <w:r w:rsidRPr="00994FC3">
        <w:t xml:space="preserve"> dwell</w:t>
      </w:r>
      <w:r>
        <w:t>ing</w:t>
      </w:r>
      <w:r w:rsidRPr="00994FC3">
        <w:t xml:space="preserve"> in the grass beds such as the blue crab</w:t>
      </w:r>
      <w:r>
        <w:t>,</w:t>
      </w:r>
      <w:r w:rsidRPr="00994FC3">
        <w:t xml:space="preserve"> the waterfowl that consume it, as well as any plant community dynamics affected by this trait.</w:t>
      </w:r>
    </w:p>
    <w:p w:rsidR="007866F3" w:rsidRDefault="00CD49CC" w:rsidP="007866F3">
      <w:pPr>
        <w:pStyle w:val="Heading3"/>
      </w:pPr>
      <w:r w:rsidRPr="00A90532">
        <w:t>Status</w:t>
      </w:r>
    </w:p>
    <w:bookmarkEnd w:id="0"/>
    <w:p w:rsidR="0086671C" w:rsidRDefault="0086671C" w:rsidP="0086671C">
      <w:pPr>
        <w:pStyle w:val="Bodytext0"/>
      </w:pPr>
      <w:r w:rsidRPr="00C90618">
        <w:t>Please consult the PLANTS Web site and your State Department of Natural Resources for this plant’s current status (e.g., threatened or endangered species, state noxious status, and wetland indicator values).</w:t>
      </w:r>
    </w:p>
    <w:p w:rsidR="00CD49CC" w:rsidRPr="00A90532" w:rsidRDefault="00CD49CC" w:rsidP="007866F3">
      <w:pPr>
        <w:pStyle w:val="Heading3"/>
        <w:rPr>
          <w:i/>
          <w:iCs/>
        </w:rPr>
      </w:pPr>
      <w:r w:rsidRPr="00A90532">
        <w:t>Description</w:t>
      </w:r>
    </w:p>
    <w:p w:rsidR="00DE7F41" w:rsidRDefault="002375B8" w:rsidP="00DE7F41">
      <w:pPr>
        <w:pStyle w:val="NRCSBodyText"/>
        <w:rPr>
          <w:i/>
        </w:rPr>
      </w:pPr>
      <w:r w:rsidRPr="002375B8">
        <w:rPr>
          <w:i/>
        </w:rPr>
        <w:t>General</w:t>
      </w:r>
      <w:r>
        <w:t>:</w:t>
      </w:r>
    </w:p>
    <w:p w:rsidR="0086671C" w:rsidRPr="00994FC3" w:rsidRDefault="0086671C" w:rsidP="0086671C">
      <w:pPr>
        <w:jc w:val="left"/>
        <w:rPr>
          <w:sz w:val="20"/>
        </w:rPr>
      </w:pPr>
      <w:proofErr w:type="spellStart"/>
      <w:r>
        <w:rPr>
          <w:sz w:val="20"/>
        </w:rPr>
        <w:t>Claspingleaf</w:t>
      </w:r>
      <w:proofErr w:type="spellEnd"/>
      <w:r>
        <w:rPr>
          <w:sz w:val="20"/>
        </w:rPr>
        <w:t xml:space="preserve"> pondweed</w:t>
      </w:r>
      <w:r w:rsidRPr="00994FC3">
        <w:rPr>
          <w:sz w:val="20"/>
        </w:rPr>
        <w:t xml:space="preserve"> is a submerged, rooted, flowering aquatic plant that grows in alkaline, brackish, and freshwater lakes, streams and estuaries. Substrate conditions are oft</w:t>
      </w:r>
      <w:r>
        <w:rPr>
          <w:sz w:val="20"/>
        </w:rPr>
        <w:t xml:space="preserve">en low in organic content </w:t>
      </w:r>
      <w:r w:rsidRPr="00994FC3">
        <w:rPr>
          <w:sz w:val="20"/>
        </w:rPr>
        <w:t>form</w:t>
      </w:r>
      <w:r>
        <w:rPr>
          <w:sz w:val="20"/>
        </w:rPr>
        <w:t>ing</w:t>
      </w:r>
      <w:r w:rsidRPr="00994FC3">
        <w:rPr>
          <w:sz w:val="20"/>
        </w:rPr>
        <w:t xml:space="preserve"> a firm muddy</w:t>
      </w:r>
      <w:r>
        <w:rPr>
          <w:sz w:val="20"/>
        </w:rPr>
        <w:t xml:space="preserve"> bottom</w:t>
      </w:r>
      <w:r w:rsidRPr="00994FC3">
        <w:rPr>
          <w:sz w:val="20"/>
        </w:rPr>
        <w:t xml:space="preserve"> or </w:t>
      </w:r>
      <w:proofErr w:type="gramStart"/>
      <w:r>
        <w:rPr>
          <w:sz w:val="20"/>
        </w:rPr>
        <w:t>a sand</w:t>
      </w:r>
      <w:proofErr w:type="gramEnd"/>
      <w:r w:rsidRPr="00994FC3">
        <w:rPr>
          <w:sz w:val="20"/>
        </w:rPr>
        <w:t>-based sediment in reasonably slow moving waters. Th</w:t>
      </w:r>
      <w:r>
        <w:rPr>
          <w:sz w:val="20"/>
        </w:rPr>
        <w:t xml:space="preserve">e </w:t>
      </w:r>
      <w:r w:rsidRPr="00994FC3">
        <w:rPr>
          <w:sz w:val="20"/>
        </w:rPr>
        <w:t>plant has</w:t>
      </w:r>
      <w:r>
        <w:rPr>
          <w:sz w:val="20"/>
        </w:rPr>
        <w:t xml:space="preserve"> a </w:t>
      </w:r>
      <w:r w:rsidRPr="00994FC3">
        <w:rPr>
          <w:sz w:val="20"/>
        </w:rPr>
        <w:t>well-developed rhizomatous network (horizontally branching roots). At the end of the vegetative season rhizomes overwinter in the form of resting buds</w:t>
      </w:r>
      <w:r>
        <w:rPr>
          <w:sz w:val="20"/>
        </w:rPr>
        <w:t>. These buds</w:t>
      </w:r>
      <w:r w:rsidRPr="00994FC3">
        <w:rPr>
          <w:sz w:val="20"/>
        </w:rPr>
        <w:t xml:space="preserve"> develop </w:t>
      </w:r>
      <w:r>
        <w:rPr>
          <w:sz w:val="20"/>
        </w:rPr>
        <w:t>at the tips of</w:t>
      </w:r>
      <w:r w:rsidRPr="00994FC3">
        <w:rPr>
          <w:sz w:val="20"/>
        </w:rPr>
        <w:t xml:space="preserve"> rhizomes and are the source of the next year’s shoots (Hutch</w:t>
      </w:r>
      <w:r>
        <w:rPr>
          <w:sz w:val="20"/>
        </w:rPr>
        <w:t>inson 1975). Resting bud depth</w:t>
      </w:r>
      <w:r w:rsidRPr="00994FC3">
        <w:rPr>
          <w:sz w:val="20"/>
        </w:rPr>
        <w:t xml:space="preserve"> is variable from just below the sediment surface to depths of more than </w:t>
      </w:r>
      <w:r>
        <w:rPr>
          <w:sz w:val="20"/>
        </w:rPr>
        <w:t>8 inches into the sediment</w:t>
      </w:r>
      <w:r w:rsidRPr="00994FC3">
        <w:rPr>
          <w:sz w:val="20"/>
        </w:rPr>
        <w:t>. Plants tend to be darker green colored in shallow waters and are a paler green in deeper water (Bergstrom et al. 2006).</w:t>
      </w:r>
    </w:p>
    <w:p w:rsidR="0086671C" w:rsidRPr="00994FC3" w:rsidRDefault="0086671C" w:rsidP="0086671C">
      <w:pPr>
        <w:jc w:val="left"/>
        <w:rPr>
          <w:sz w:val="20"/>
        </w:rPr>
      </w:pPr>
    </w:p>
    <w:p w:rsidR="0086671C" w:rsidRDefault="0086671C" w:rsidP="0086671C">
      <w:pPr>
        <w:contextualSpacing/>
        <w:jc w:val="left"/>
        <w:rPr>
          <w:sz w:val="20"/>
        </w:rPr>
      </w:pPr>
      <w:r w:rsidRPr="00994FC3">
        <w:rPr>
          <w:sz w:val="20"/>
        </w:rPr>
        <w:t xml:space="preserve">Stems are light beige to reddish brown or green-yellow in color </w:t>
      </w:r>
      <w:r>
        <w:rPr>
          <w:sz w:val="20"/>
        </w:rPr>
        <w:t xml:space="preserve">typically </w:t>
      </w:r>
      <w:r w:rsidRPr="00994FC3">
        <w:rPr>
          <w:sz w:val="20"/>
        </w:rPr>
        <w:t>consisting of one</w:t>
      </w:r>
      <w:r>
        <w:rPr>
          <w:sz w:val="20"/>
        </w:rPr>
        <w:t xml:space="preserve"> </w:t>
      </w:r>
      <w:r w:rsidRPr="00994FC3">
        <w:rPr>
          <w:sz w:val="20"/>
        </w:rPr>
        <w:t>straight main stem at the base of the plant</w:t>
      </w:r>
      <w:r>
        <w:rPr>
          <w:sz w:val="20"/>
        </w:rPr>
        <w:t>.</w:t>
      </w:r>
      <w:r w:rsidRPr="00994FC3">
        <w:rPr>
          <w:sz w:val="20"/>
        </w:rPr>
        <w:t xml:space="preserve"> </w:t>
      </w:r>
      <w:r>
        <w:rPr>
          <w:sz w:val="20"/>
        </w:rPr>
        <w:t>S</w:t>
      </w:r>
      <w:r w:rsidRPr="00994FC3">
        <w:rPr>
          <w:sz w:val="20"/>
        </w:rPr>
        <w:t xml:space="preserve">ometimes two or three (rarely more) </w:t>
      </w:r>
      <w:r>
        <w:rPr>
          <w:sz w:val="20"/>
        </w:rPr>
        <w:t xml:space="preserve">stems </w:t>
      </w:r>
      <w:proofErr w:type="gramStart"/>
      <w:r>
        <w:rPr>
          <w:sz w:val="20"/>
        </w:rPr>
        <w:t>may</w:t>
      </w:r>
      <w:proofErr w:type="gramEnd"/>
      <w:r>
        <w:rPr>
          <w:sz w:val="20"/>
        </w:rPr>
        <w:t xml:space="preserve"> </w:t>
      </w:r>
      <w:r w:rsidRPr="00994FC3">
        <w:rPr>
          <w:sz w:val="20"/>
        </w:rPr>
        <w:t>branchi</w:t>
      </w:r>
      <w:r>
        <w:rPr>
          <w:sz w:val="20"/>
        </w:rPr>
        <w:t>ng</w:t>
      </w:r>
      <w:r w:rsidRPr="00994FC3">
        <w:rPr>
          <w:sz w:val="20"/>
        </w:rPr>
        <w:t xml:space="preserve"> </w:t>
      </w:r>
      <w:r>
        <w:rPr>
          <w:sz w:val="20"/>
        </w:rPr>
        <w:t>from the main stem</w:t>
      </w:r>
      <w:r w:rsidRPr="00994FC3">
        <w:rPr>
          <w:sz w:val="20"/>
        </w:rPr>
        <w:t xml:space="preserve">. The parallel-veined leaves are almost </w:t>
      </w:r>
      <w:proofErr w:type="spellStart"/>
      <w:r w:rsidRPr="00994FC3">
        <w:rPr>
          <w:sz w:val="20"/>
        </w:rPr>
        <w:t>perfoliate</w:t>
      </w:r>
      <w:proofErr w:type="spellEnd"/>
      <w:r>
        <w:rPr>
          <w:sz w:val="20"/>
        </w:rPr>
        <w:t xml:space="preserve"> (stem through the leaves)</w:t>
      </w:r>
      <w:r w:rsidRPr="00994FC3">
        <w:rPr>
          <w:sz w:val="20"/>
        </w:rPr>
        <w:t xml:space="preserve">, </w:t>
      </w:r>
      <w:proofErr w:type="spellStart"/>
      <w:r w:rsidRPr="00994FC3">
        <w:rPr>
          <w:sz w:val="20"/>
        </w:rPr>
        <w:t>cordate</w:t>
      </w:r>
      <w:proofErr w:type="spellEnd"/>
      <w:r>
        <w:rPr>
          <w:sz w:val="20"/>
        </w:rPr>
        <w:t xml:space="preserve"> (heart shaped) </w:t>
      </w:r>
      <w:r w:rsidRPr="00994FC3">
        <w:rPr>
          <w:sz w:val="20"/>
        </w:rPr>
        <w:t>clasping the stem by curving around it</w:t>
      </w:r>
      <w:r>
        <w:rPr>
          <w:sz w:val="20"/>
        </w:rPr>
        <w:t>.</w:t>
      </w:r>
    </w:p>
    <w:p w:rsidR="0086671C" w:rsidRDefault="0086671C" w:rsidP="0086671C">
      <w:pPr>
        <w:contextualSpacing/>
        <w:jc w:val="left"/>
        <w:rPr>
          <w:sz w:val="20"/>
        </w:rPr>
      </w:pPr>
    </w:p>
    <w:p w:rsidR="0086671C" w:rsidRDefault="0086671C" w:rsidP="0086671C">
      <w:pPr>
        <w:pStyle w:val="BodytextNRCS"/>
      </w:pPr>
      <w:r w:rsidRPr="00994FC3">
        <w:t xml:space="preserve"> Leaves measure 0.4-2.75 inches long and are from 0.4 to 1 inch wide. They typically start no more than about 2 inches from the base of the plant and extend regularly along the stem in an alternate or slightly opposite pattern</w:t>
      </w:r>
      <w:r>
        <w:t>.  Leaves extend</w:t>
      </w:r>
      <w:r w:rsidRPr="00994FC3">
        <w:t xml:space="preserve"> to either the top</w:t>
      </w:r>
      <w:r>
        <w:t xml:space="preserve"> of the stem</w:t>
      </w:r>
      <w:r w:rsidRPr="00994FC3">
        <w:t xml:space="preserve"> or </w:t>
      </w:r>
      <w:r>
        <w:t xml:space="preserve">to the </w:t>
      </w:r>
      <w:r w:rsidRPr="00994FC3">
        <w:t>flowering end (terminal inflorescence) of the pl</w:t>
      </w:r>
      <w:r>
        <w:t xml:space="preserve">ant. Stem densities in the wild </w:t>
      </w:r>
      <w:r w:rsidRPr="00994FC3">
        <w:t>are highly variable</w:t>
      </w:r>
      <w:r>
        <w:t>.  Due to its</w:t>
      </w:r>
      <w:r w:rsidRPr="00994FC3">
        <w:t xml:space="preserve"> rhizomatous nature, it is quite rare to find just a single plant.</w:t>
      </w:r>
    </w:p>
    <w:p w:rsidR="0086671C" w:rsidRPr="00994FC3" w:rsidRDefault="0086671C" w:rsidP="0086671C">
      <w:pPr>
        <w:contextualSpacing/>
        <w:jc w:val="left"/>
        <w:rPr>
          <w:sz w:val="20"/>
        </w:rPr>
      </w:pPr>
    </w:p>
    <w:p w:rsidR="0086671C" w:rsidRPr="00994FC3" w:rsidRDefault="0086671C" w:rsidP="0086671C">
      <w:pPr>
        <w:contextualSpacing/>
        <w:jc w:val="left"/>
        <w:rPr>
          <w:sz w:val="20"/>
        </w:rPr>
      </w:pPr>
      <w:r w:rsidRPr="00994FC3">
        <w:rPr>
          <w:sz w:val="20"/>
        </w:rPr>
        <w:lastRenderedPageBreak/>
        <w:t xml:space="preserve">Flowers are borne on spiked inflorescences </w:t>
      </w:r>
      <w:r>
        <w:rPr>
          <w:sz w:val="20"/>
        </w:rPr>
        <w:t xml:space="preserve">(clusters of flowers arranged on stems) </w:t>
      </w:r>
      <w:r w:rsidRPr="00994FC3">
        <w:rPr>
          <w:sz w:val="20"/>
        </w:rPr>
        <w:t xml:space="preserve">measuring approximately 0.5-1.25 inches in length and about 0.25-0.50 inches wide (Gleason and </w:t>
      </w:r>
      <w:proofErr w:type="spellStart"/>
      <w:r w:rsidRPr="00994FC3">
        <w:rPr>
          <w:sz w:val="20"/>
        </w:rPr>
        <w:t>Cronquist</w:t>
      </w:r>
      <w:proofErr w:type="spellEnd"/>
      <w:r w:rsidRPr="00994FC3">
        <w:rPr>
          <w:sz w:val="20"/>
        </w:rPr>
        <w:t xml:space="preserve"> 1991). </w:t>
      </w:r>
      <w:r>
        <w:rPr>
          <w:sz w:val="20"/>
        </w:rPr>
        <w:t>The n</w:t>
      </w:r>
      <w:r w:rsidRPr="00994FC3">
        <w:rPr>
          <w:sz w:val="20"/>
        </w:rPr>
        <w:t>umber of inflorescences per stem ranges</w:t>
      </w:r>
      <w:r>
        <w:rPr>
          <w:sz w:val="20"/>
        </w:rPr>
        <w:t xml:space="preserve"> from 1-3</w:t>
      </w:r>
      <w:r w:rsidRPr="00994FC3">
        <w:rPr>
          <w:sz w:val="20"/>
        </w:rPr>
        <w:t xml:space="preserve">. Each inflorescence contains about 5-12 (four carpel) flowers </w:t>
      </w:r>
      <w:r>
        <w:rPr>
          <w:sz w:val="20"/>
        </w:rPr>
        <w:t xml:space="preserve">producing </w:t>
      </w:r>
      <w:r w:rsidRPr="00994FC3">
        <w:rPr>
          <w:sz w:val="20"/>
        </w:rPr>
        <w:t>20-48 seeds</w:t>
      </w:r>
      <w:r>
        <w:rPr>
          <w:sz w:val="20"/>
        </w:rPr>
        <w:t xml:space="preserve"> each</w:t>
      </w:r>
      <w:r w:rsidRPr="00994FC3">
        <w:rPr>
          <w:sz w:val="20"/>
        </w:rPr>
        <w:t>, for a total of about 48-115 seeds per flowering stem (STAC 2007).</w:t>
      </w:r>
    </w:p>
    <w:p w:rsidR="0086671C" w:rsidRPr="000968E2" w:rsidRDefault="0086671C" w:rsidP="00DE7F41">
      <w:pPr>
        <w:pStyle w:val="NRCSBodyText"/>
        <w:rPr>
          <w:i/>
        </w:rPr>
      </w:pPr>
    </w:p>
    <w:p w:rsidR="0086671C" w:rsidRDefault="002375B8" w:rsidP="00302C9A">
      <w:pPr>
        <w:pStyle w:val="NRCSBodyText"/>
        <w:spacing w:before="240"/>
      </w:pPr>
      <w:r w:rsidRPr="002375B8">
        <w:rPr>
          <w:i/>
        </w:rPr>
        <w:t>Distribution</w:t>
      </w:r>
      <w:r>
        <w:t>:</w:t>
      </w:r>
      <w:r w:rsidR="004011BB">
        <w:t xml:space="preserve"> </w:t>
      </w:r>
    </w:p>
    <w:p w:rsidR="0086671C" w:rsidRDefault="0086671C" w:rsidP="0086671C">
      <w:pPr>
        <w:pStyle w:val="NRCSBodyText"/>
        <w:keepNext/>
        <w:spacing w:before="240"/>
      </w:pPr>
      <w:r w:rsidRPr="0086671C">
        <w:rPr>
          <w:noProof/>
        </w:rPr>
        <w:drawing>
          <wp:inline distT="0" distB="0" distL="0" distR="0">
            <wp:extent cx="2743200" cy="2278966"/>
            <wp:effectExtent l="19050" t="0" r="0" b="0"/>
            <wp:docPr id="4" name="Picture 4" descr="http://plants.usda.gov/maps/large/PO/POP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nts.usda.gov/maps/large/PO/POPE7.png"/>
                    <pic:cNvPicPr>
                      <a:picLocks noChangeAspect="1" noChangeArrowheads="1"/>
                    </pic:cNvPicPr>
                  </pic:nvPicPr>
                  <pic:blipFill>
                    <a:blip r:embed="rId12" cstate="print"/>
                    <a:srcRect/>
                    <a:stretch>
                      <a:fillRect/>
                    </a:stretch>
                  </pic:blipFill>
                  <pic:spPr bwMode="auto">
                    <a:xfrm>
                      <a:off x="0" y="0"/>
                      <a:ext cx="2743200" cy="2278966"/>
                    </a:xfrm>
                    <a:prstGeom prst="rect">
                      <a:avLst/>
                    </a:prstGeom>
                    <a:noFill/>
                    <a:ln w="9525">
                      <a:noFill/>
                      <a:miter lim="800000"/>
                      <a:headEnd/>
                      <a:tailEnd/>
                    </a:ln>
                  </pic:spPr>
                </pic:pic>
              </a:graphicData>
            </a:graphic>
          </wp:inline>
        </w:drawing>
      </w:r>
    </w:p>
    <w:p w:rsidR="0086671C" w:rsidRDefault="0086671C" w:rsidP="0086671C">
      <w:pPr>
        <w:pStyle w:val="CaptionNRCS"/>
      </w:pPr>
      <w:proofErr w:type="spellStart"/>
      <w:proofErr w:type="gramStart"/>
      <w:r w:rsidRPr="006E5711">
        <w:t>Claspinleaf</w:t>
      </w:r>
      <w:proofErr w:type="spellEnd"/>
      <w:r w:rsidRPr="006E5711">
        <w:t xml:space="preserve"> pondweed distribution from USDA-NRCS PLANTS Database.</w:t>
      </w:r>
      <w:proofErr w:type="gramEnd"/>
    </w:p>
    <w:p w:rsidR="0086671C" w:rsidRDefault="0086671C" w:rsidP="0086671C">
      <w:pPr>
        <w:pStyle w:val="Bodytext0"/>
      </w:pPr>
      <w:r>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DE7F41" w:rsidRPr="000968E2">
        <w:rPr>
          <w:i/>
        </w:rPr>
        <w:t>Insert text here</w:t>
      </w:r>
    </w:p>
    <w:p w:rsidR="00CD49CC" w:rsidRPr="00DE7F41" w:rsidRDefault="00CD49CC" w:rsidP="00DE7F41">
      <w:pPr>
        <w:pStyle w:val="BodytextNRCS"/>
        <w:spacing w:before="240"/>
        <w:rPr>
          <w:b/>
        </w:rPr>
      </w:pPr>
      <w:r w:rsidRPr="00DE7F41">
        <w:rPr>
          <w:b/>
        </w:rPr>
        <w:t>Adaptation</w:t>
      </w:r>
    </w:p>
    <w:p w:rsidR="00CF6B46" w:rsidRPr="00994FC3" w:rsidRDefault="00CF6B46" w:rsidP="00CF6B46">
      <w:pPr>
        <w:jc w:val="left"/>
        <w:rPr>
          <w:sz w:val="20"/>
        </w:rPr>
      </w:pPr>
      <w:proofErr w:type="spellStart"/>
      <w:r>
        <w:rPr>
          <w:sz w:val="20"/>
        </w:rPr>
        <w:t>Claspingleaf</w:t>
      </w:r>
      <w:proofErr w:type="spellEnd"/>
      <w:r>
        <w:rPr>
          <w:sz w:val="20"/>
        </w:rPr>
        <w:t xml:space="preserve"> pondweed</w:t>
      </w:r>
      <w:r w:rsidRPr="00994FC3">
        <w:rPr>
          <w:sz w:val="20"/>
        </w:rPr>
        <w:t xml:space="preserve"> can be found throughout the eastern half of North America</w:t>
      </w:r>
      <w:r>
        <w:rPr>
          <w:sz w:val="20"/>
        </w:rPr>
        <w:t>,</w:t>
      </w:r>
      <w:r w:rsidRPr="00994FC3">
        <w:rPr>
          <w:sz w:val="20"/>
        </w:rPr>
        <w:t xml:space="preserve"> </w:t>
      </w:r>
      <w:r>
        <w:rPr>
          <w:sz w:val="20"/>
        </w:rPr>
        <w:t xml:space="preserve">Central America (Guatemala), Eurasia, </w:t>
      </w:r>
      <w:r w:rsidRPr="00994FC3">
        <w:rPr>
          <w:sz w:val="20"/>
        </w:rPr>
        <w:t>Africa, and Australia (Bergstrom et al. 2006).</w:t>
      </w:r>
    </w:p>
    <w:p w:rsidR="00CD49CC" w:rsidRPr="00721B7E" w:rsidRDefault="00CD49CC" w:rsidP="00721B7E">
      <w:pPr>
        <w:pStyle w:val="Heading3"/>
      </w:pPr>
      <w:r w:rsidRPr="00721B7E">
        <w:t>Establishment</w:t>
      </w:r>
    </w:p>
    <w:p w:rsidR="00CF6B46" w:rsidRDefault="00CF6B46" w:rsidP="00CF6B46">
      <w:pPr>
        <w:pStyle w:val="BodytextNRCS"/>
      </w:pPr>
      <w:proofErr w:type="spellStart"/>
      <w:r>
        <w:t>Claspingleaf</w:t>
      </w:r>
      <w:proofErr w:type="spellEnd"/>
      <w:r>
        <w:t xml:space="preserve"> pondweed</w:t>
      </w:r>
      <w:r w:rsidRPr="00994FC3">
        <w:t xml:space="preserve"> </w:t>
      </w:r>
      <w:r>
        <w:t>is</w:t>
      </w:r>
      <w:r w:rsidRPr="00994FC3">
        <w:t xml:space="preserve"> propagated through cuttings, rootstocks, and seeds. </w:t>
      </w:r>
      <w:r>
        <w:t>When s</w:t>
      </w:r>
      <w:r w:rsidRPr="00994FC3">
        <w:t>tarting</w:t>
      </w:r>
      <w:r>
        <w:t xml:space="preserve"> new</w:t>
      </w:r>
      <w:r w:rsidRPr="00994FC3">
        <w:t xml:space="preserve"> </w:t>
      </w:r>
      <w:r>
        <w:t xml:space="preserve">populations, </w:t>
      </w:r>
      <w:r w:rsidRPr="00994FC3">
        <w:t xml:space="preserve">using cuttings and rootstocks is </w:t>
      </w:r>
      <w:r>
        <w:t xml:space="preserve">the </w:t>
      </w:r>
      <w:r w:rsidRPr="00994FC3">
        <w:t>least</w:t>
      </w:r>
      <w:r>
        <w:t xml:space="preserve"> time consuming method</w:t>
      </w:r>
      <w:r w:rsidRPr="00994FC3">
        <w:t xml:space="preserve">. Cuttings can be taken and immediately planted to create new ones. Use of the appropriate </w:t>
      </w:r>
      <w:r>
        <w:t xml:space="preserve">planting </w:t>
      </w:r>
      <w:r w:rsidRPr="00994FC3">
        <w:t xml:space="preserve">substrate is important. </w:t>
      </w:r>
      <w:r>
        <w:t>S</w:t>
      </w:r>
      <w:r w:rsidRPr="00994FC3">
        <w:t xml:space="preserve">ediments </w:t>
      </w:r>
      <w:r>
        <w:t xml:space="preserve">may be removed </w:t>
      </w:r>
      <w:r w:rsidRPr="00994FC3">
        <w:t>from a</w:t>
      </w:r>
      <w:r>
        <w:t xml:space="preserve"> </w:t>
      </w:r>
      <w:proofErr w:type="spellStart"/>
      <w:r>
        <w:t>claspingleaf</w:t>
      </w:r>
      <w:proofErr w:type="spellEnd"/>
      <w:r>
        <w:t xml:space="preserve"> pondweed</w:t>
      </w:r>
      <w:r w:rsidRPr="00994FC3">
        <w:t xml:space="preserve"> bed in the field</w:t>
      </w:r>
      <w:r>
        <w:t xml:space="preserve"> or a better </w:t>
      </w:r>
      <w:r w:rsidRPr="00994FC3">
        <w:t xml:space="preserve">solution has been </w:t>
      </w:r>
      <w:r>
        <w:t xml:space="preserve">to develop a substrate </w:t>
      </w:r>
      <w:r w:rsidRPr="00994FC3">
        <w:t>combin</w:t>
      </w:r>
      <w:r>
        <w:t xml:space="preserve">ing </w:t>
      </w:r>
      <w:r w:rsidRPr="00994FC3">
        <w:t>oyster shell and peat. This combination is easily obtainable from nursery and agricultural suppliers, and balance</w:t>
      </w:r>
      <w:r>
        <w:t>s</w:t>
      </w:r>
      <w:r w:rsidRPr="00994FC3">
        <w:t xml:space="preserve"> the plants’ need for </w:t>
      </w:r>
      <w:r>
        <w:t xml:space="preserve">an </w:t>
      </w:r>
      <w:r w:rsidRPr="00994FC3">
        <w:t>alkaline substrate and include</w:t>
      </w:r>
      <w:r>
        <w:t>s</w:t>
      </w:r>
      <w:r w:rsidRPr="00994FC3">
        <w:t xml:space="preserve"> a coarse addition of organic material (Zinecker et al., 2007). Zinecker et al. (2007) found that the </w:t>
      </w:r>
      <w:r>
        <w:t xml:space="preserve">planting </w:t>
      </w:r>
      <w:r w:rsidRPr="00994FC3">
        <w:t xml:space="preserve">substrate should have low organic content, but </w:t>
      </w:r>
      <w:r w:rsidRPr="00994FC3">
        <w:lastRenderedPageBreak/>
        <w:t xml:space="preserve">provide some nutrients, making a sand-only substrate </w:t>
      </w:r>
      <w:r>
        <w:t xml:space="preserve">a </w:t>
      </w:r>
      <w:r w:rsidRPr="00994FC3">
        <w:t xml:space="preserve">poor choice. A combination of sand and soil is </w:t>
      </w:r>
      <w:r>
        <w:t>also a</w:t>
      </w:r>
      <w:r w:rsidRPr="00994FC3">
        <w:t xml:space="preserve"> poor choice due to the high organic content with added fertilizers that are much higher than the ideal environment. These factors encourage growth in the aboveground shoots rather than encouraging a robust rootstock. An adequate root system is important when propagating plants, in particular for restoration. When rootstocks are available for planting directly, time is saved because no </w:t>
      </w:r>
      <w:r>
        <w:t>energy</w:t>
      </w:r>
      <w:r w:rsidRPr="00994FC3">
        <w:t xml:space="preserve"> is expended on aboveground shoot development until the </w:t>
      </w:r>
      <w:r>
        <w:t>underground</w:t>
      </w:r>
      <w:r w:rsidRPr="00994FC3">
        <w:t xml:space="preserve"> parts are more developed. </w:t>
      </w:r>
      <w:proofErr w:type="gramStart"/>
      <w:r w:rsidRPr="00994FC3">
        <w:t>When shoots are planted without roots, the</w:t>
      </w:r>
      <w:r>
        <w:t xml:space="preserve"> shoots</w:t>
      </w:r>
      <w:r w:rsidRPr="00994FC3">
        <w:t xml:space="preserve"> typically senesce allow</w:t>
      </w:r>
      <w:r>
        <w:t xml:space="preserve">ing </w:t>
      </w:r>
      <w:r w:rsidRPr="00994FC3">
        <w:t xml:space="preserve">the plants to develop </w:t>
      </w:r>
      <w:r>
        <w:t>underground</w:t>
      </w:r>
      <w:r w:rsidRPr="00994FC3">
        <w:t xml:space="preserve"> biomass</w:t>
      </w:r>
      <w:r>
        <w:t>.</w:t>
      </w:r>
      <w:proofErr w:type="gramEnd"/>
      <w:r>
        <w:t xml:space="preserve">  This underground system</w:t>
      </w:r>
      <w:r w:rsidRPr="00994FC3">
        <w:t xml:space="preserve"> support</w:t>
      </w:r>
      <w:r>
        <w:t>s</w:t>
      </w:r>
      <w:r w:rsidRPr="00994FC3">
        <w:t xml:space="preserve"> the plant </w:t>
      </w:r>
      <w:proofErr w:type="spellStart"/>
      <w:r w:rsidRPr="00994FC3">
        <w:t>vegetatively</w:t>
      </w:r>
      <w:proofErr w:type="spellEnd"/>
      <w:r w:rsidRPr="00994FC3">
        <w:t xml:space="preserve">, nutritionally, and </w:t>
      </w:r>
      <w:r>
        <w:t xml:space="preserve">provides </w:t>
      </w:r>
      <w:r w:rsidRPr="00994FC3">
        <w:t>an anchor guard</w:t>
      </w:r>
      <w:r>
        <w:t>ing</w:t>
      </w:r>
      <w:r w:rsidRPr="00994FC3">
        <w:t xml:space="preserve"> against currents or storm events. </w:t>
      </w:r>
    </w:p>
    <w:p w:rsidR="00CF6B46" w:rsidRPr="00994FC3" w:rsidRDefault="00CF6B46" w:rsidP="00CF6B46">
      <w:pPr>
        <w:jc w:val="left"/>
        <w:rPr>
          <w:sz w:val="20"/>
        </w:rPr>
      </w:pPr>
    </w:p>
    <w:p w:rsidR="00CF6B46" w:rsidRDefault="00CF6B46" w:rsidP="00CF6B46">
      <w:pPr>
        <w:pStyle w:val="BodytextNRCS"/>
      </w:pPr>
      <w:r w:rsidRPr="00994FC3">
        <w:t xml:space="preserve">Seed propagation may </w:t>
      </w:r>
      <w:r>
        <w:t xml:space="preserve">result in a </w:t>
      </w:r>
      <w:r w:rsidRPr="00994FC3">
        <w:t>much higher yield of plants</w:t>
      </w:r>
      <w:r>
        <w:t xml:space="preserve"> than asexual propagation</w:t>
      </w:r>
      <w:r w:rsidRPr="00994FC3">
        <w:t>. Seeds must be harvested from plants at the right time</w:t>
      </w:r>
      <w:r>
        <w:t xml:space="preserve"> of year. G</w:t>
      </w:r>
      <w:r w:rsidRPr="00994FC3">
        <w:t xml:space="preserve">ermination rates under ideal conditions are variable from 16-60% (STAC 2007). </w:t>
      </w:r>
      <w:proofErr w:type="spellStart"/>
      <w:r w:rsidRPr="00994FC3">
        <w:t>Ailstock</w:t>
      </w:r>
      <w:proofErr w:type="spellEnd"/>
      <w:r w:rsidRPr="00994FC3">
        <w:t xml:space="preserve"> et al. (STAC 2007) found reproductive potential and harvest time highly correlated. </w:t>
      </w:r>
      <w:r>
        <w:t>Seed</w:t>
      </w:r>
      <w:r w:rsidRPr="00994FC3">
        <w:t xml:space="preserve"> collections occur from late July to August</w:t>
      </w:r>
      <w:r>
        <w:t xml:space="preserve"> at the Baltimore, MD latitude.  Due to the large geographic range of this plant the timing of harvest will vary with location</w:t>
      </w:r>
      <w:r w:rsidRPr="00994FC3">
        <w:t xml:space="preserve">. Seed harvesting of the upper third </w:t>
      </w:r>
      <w:r>
        <w:t xml:space="preserve">of the </w:t>
      </w:r>
      <w:r w:rsidRPr="00994FC3">
        <w:t>water column includes the plant stems and florescence (i.e. 1 foot down in 3 feet of water, or 10 inches down in a 30 inch tank).  Harvested seeds quickly degrade and require cold treatment almost immediately</w:t>
      </w:r>
      <w:r>
        <w:t>.</w:t>
      </w:r>
      <w:r w:rsidRPr="00994FC3">
        <w:t xml:space="preserve"> </w:t>
      </w:r>
      <w:r>
        <w:t xml:space="preserve">Seed </w:t>
      </w:r>
      <w:r w:rsidRPr="00994FC3">
        <w:t>processing should occur soon after harvest</w:t>
      </w:r>
      <w:r>
        <w:t xml:space="preserve"> and </w:t>
      </w:r>
      <w:r w:rsidRPr="00994FC3">
        <w:t>before cold storage. Best germination</w:t>
      </w:r>
      <w:r>
        <w:t xml:space="preserve"> results</w:t>
      </w:r>
      <w:r w:rsidRPr="00994FC3">
        <w:t xml:space="preserve"> require </w:t>
      </w:r>
      <w:r>
        <w:t xml:space="preserve">seed to be stratified </w:t>
      </w:r>
      <w:r w:rsidRPr="00994FC3">
        <w:t xml:space="preserve">six to nine months </w:t>
      </w:r>
      <w:r>
        <w:t>in</w:t>
      </w:r>
      <w:r w:rsidRPr="00994FC3">
        <w:t xml:space="preserve"> cold storage (at 40 deg F) </w:t>
      </w:r>
      <w:r>
        <w:t xml:space="preserve">and </w:t>
      </w:r>
      <w:r w:rsidRPr="00994FC3">
        <w:t xml:space="preserve">submerged in 15 </w:t>
      </w:r>
      <w:r>
        <w:t xml:space="preserve">parts </w:t>
      </w:r>
      <w:proofErr w:type="gramStart"/>
      <w:r>
        <w:t>per thousand (</w:t>
      </w:r>
      <w:proofErr w:type="spellStart"/>
      <w:r w:rsidRPr="00994FC3">
        <w:t>ppt</w:t>
      </w:r>
      <w:proofErr w:type="spellEnd"/>
      <w:r>
        <w:t>)</w:t>
      </w:r>
      <w:r w:rsidRPr="00994FC3">
        <w:t xml:space="preserve"> salin</w:t>
      </w:r>
      <w:r>
        <w:t>e</w:t>
      </w:r>
      <w:r w:rsidRPr="00994FC3">
        <w:t xml:space="preserve"> water with aeration</w:t>
      </w:r>
      <w:proofErr w:type="gramEnd"/>
      <w:r w:rsidRPr="00994FC3">
        <w:t xml:space="preserve">. To encourage fast, high </w:t>
      </w:r>
      <w:r>
        <w:t xml:space="preserve">rates of seed </w:t>
      </w:r>
      <w:r w:rsidRPr="00994FC3">
        <w:t>germinati</w:t>
      </w:r>
      <w:r>
        <w:t>on</w:t>
      </w:r>
      <w:r w:rsidRPr="00994FC3">
        <w:t xml:space="preserve">, after the 6-9 month </w:t>
      </w:r>
      <w:proofErr w:type="spellStart"/>
      <w:r>
        <w:t>stratification</w:t>
      </w:r>
      <w:proofErr w:type="gramStart"/>
      <w:r w:rsidRPr="00994FC3">
        <w:t>,transfer</w:t>
      </w:r>
      <w:proofErr w:type="spellEnd"/>
      <w:proofErr w:type="gramEnd"/>
      <w:r>
        <w:t xml:space="preserve"> the seed </w:t>
      </w:r>
      <w:r w:rsidRPr="00994FC3">
        <w:t>to a warm, freshwater environment.</w:t>
      </w:r>
    </w:p>
    <w:p w:rsidR="00CF6B46" w:rsidRPr="00994FC3" w:rsidRDefault="00CF6B46" w:rsidP="00CF6B46">
      <w:pPr>
        <w:jc w:val="left"/>
        <w:rPr>
          <w:sz w:val="20"/>
        </w:rPr>
      </w:pPr>
    </w:p>
    <w:p w:rsidR="00CF6B46" w:rsidRPr="00994FC3" w:rsidRDefault="00CF6B46" w:rsidP="00CF6B46">
      <w:pPr>
        <w:jc w:val="left"/>
        <w:rPr>
          <w:sz w:val="20"/>
        </w:rPr>
      </w:pPr>
      <w:r>
        <w:rPr>
          <w:sz w:val="20"/>
        </w:rPr>
        <w:t>Plants in</w:t>
      </w:r>
      <w:r w:rsidRPr="00994FC3">
        <w:rPr>
          <w:sz w:val="20"/>
        </w:rPr>
        <w:t xml:space="preserve"> outdoor tank storage may be left </w:t>
      </w:r>
      <w:r>
        <w:rPr>
          <w:sz w:val="20"/>
        </w:rPr>
        <w:t xml:space="preserve">for </w:t>
      </w:r>
      <w:r w:rsidRPr="00994FC3">
        <w:rPr>
          <w:sz w:val="20"/>
        </w:rPr>
        <w:t xml:space="preserve">seeds to fall near parent plants and allowed to overwinter and germinate. This may not result in the highest </w:t>
      </w:r>
      <w:r>
        <w:rPr>
          <w:sz w:val="20"/>
        </w:rPr>
        <w:t xml:space="preserve">germination </w:t>
      </w:r>
      <w:proofErr w:type="gramStart"/>
      <w:r w:rsidRPr="00994FC3">
        <w:rPr>
          <w:sz w:val="20"/>
        </w:rPr>
        <w:t>success  because</w:t>
      </w:r>
      <w:proofErr w:type="gramEnd"/>
      <w:r w:rsidRPr="00994FC3">
        <w:rPr>
          <w:sz w:val="20"/>
        </w:rPr>
        <w:t xml:space="preserve"> the</w:t>
      </w:r>
      <w:r>
        <w:rPr>
          <w:sz w:val="20"/>
        </w:rPr>
        <w:t xml:space="preserve"> plants</w:t>
      </w:r>
      <w:r w:rsidRPr="00994FC3">
        <w:rPr>
          <w:sz w:val="20"/>
        </w:rPr>
        <w:t xml:space="preserve"> are harder to monitor and the environment is less controlled. The issues affecting germination rates here would be inconsistent temperature, lack of aeration, and controlled salinity. </w:t>
      </w:r>
      <w:r>
        <w:rPr>
          <w:sz w:val="20"/>
        </w:rPr>
        <w:t>S</w:t>
      </w:r>
      <w:r w:rsidRPr="00994FC3">
        <w:rPr>
          <w:sz w:val="20"/>
        </w:rPr>
        <w:t xml:space="preserve">eeds from the outdoor tank </w:t>
      </w:r>
      <w:r>
        <w:rPr>
          <w:sz w:val="20"/>
        </w:rPr>
        <w:t xml:space="preserve">may be collected </w:t>
      </w:r>
      <w:r w:rsidRPr="00994FC3">
        <w:rPr>
          <w:sz w:val="20"/>
        </w:rPr>
        <w:t xml:space="preserve">and put </w:t>
      </w:r>
      <w:r>
        <w:rPr>
          <w:sz w:val="20"/>
        </w:rPr>
        <w:t>i</w:t>
      </w:r>
      <w:r w:rsidRPr="00994FC3">
        <w:rPr>
          <w:sz w:val="20"/>
        </w:rPr>
        <w:t>n</w:t>
      </w:r>
      <w:r>
        <w:rPr>
          <w:sz w:val="20"/>
        </w:rPr>
        <w:t>to</w:t>
      </w:r>
      <w:r w:rsidRPr="00994FC3">
        <w:rPr>
          <w:sz w:val="20"/>
        </w:rPr>
        <w:t xml:space="preserve"> a climate controlled refrigerator with or without aeration </w:t>
      </w:r>
      <w:r>
        <w:rPr>
          <w:sz w:val="20"/>
        </w:rPr>
        <w:t>and/</w:t>
      </w:r>
      <w:r w:rsidRPr="00994FC3">
        <w:rPr>
          <w:sz w:val="20"/>
        </w:rPr>
        <w:t>or salinity. If not aerated or p</w:t>
      </w:r>
      <w:r>
        <w:rPr>
          <w:sz w:val="20"/>
        </w:rPr>
        <w:t>lace</w:t>
      </w:r>
      <w:r w:rsidRPr="00994FC3">
        <w:rPr>
          <w:sz w:val="20"/>
        </w:rPr>
        <w:t xml:space="preserve"> in 15ppt </w:t>
      </w:r>
      <w:r>
        <w:rPr>
          <w:sz w:val="20"/>
        </w:rPr>
        <w:t xml:space="preserve">saline </w:t>
      </w:r>
      <w:r w:rsidRPr="00994FC3">
        <w:rPr>
          <w:sz w:val="20"/>
        </w:rPr>
        <w:t xml:space="preserve">water, some </w:t>
      </w:r>
      <w:r>
        <w:rPr>
          <w:sz w:val="20"/>
        </w:rPr>
        <w:t>germination</w:t>
      </w:r>
      <w:r w:rsidRPr="00994FC3">
        <w:rPr>
          <w:sz w:val="20"/>
        </w:rPr>
        <w:t xml:space="preserve"> (usually no more than 20%) will </w:t>
      </w:r>
      <w:r>
        <w:rPr>
          <w:sz w:val="20"/>
        </w:rPr>
        <w:t xml:space="preserve">occur. Seed </w:t>
      </w:r>
      <w:r w:rsidRPr="00994FC3">
        <w:rPr>
          <w:sz w:val="20"/>
        </w:rPr>
        <w:t>in cold</w:t>
      </w:r>
      <w:r>
        <w:rPr>
          <w:sz w:val="20"/>
        </w:rPr>
        <w:t>, dark</w:t>
      </w:r>
      <w:r w:rsidRPr="00994FC3">
        <w:rPr>
          <w:sz w:val="20"/>
        </w:rPr>
        <w:t xml:space="preserve"> storage,</w:t>
      </w:r>
      <w:r>
        <w:rPr>
          <w:sz w:val="20"/>
        </w:rPr>
        <w:t xml:space="preserve"> will germinate</w:t>
      </w:r>
      <w:r w:rsidRPr="00994FC3">
        <w:rPr>
          <w:sz w:val="20"/>
        </w:rPr>
        <w:t xml:space="preserve"> within 2 to 4 months</w:t>
      </w:r>
      <w:r>
        <w:rPr>
          <w:sz w:val="20"/>
        </w:rPr>
        <w:t xml:space="preserve"> of harvest</w:t>
      </w:r>
      <w:r w:rsidRPr="00994FC3">
        <w:rPr>
          <w:sz w:val="20"/>
        </w:rPr>
        <w:t xml:space="preserve">. </w:t>
      </w:r>
    </w:p>
    <w:p w:rsidR="00CF6B46" w:rsidRPr="00994FC3" w:rsidRDefault="00CF6B46" w:rsidP="00CF6B46">
      <w:pPr>
        <w:jc w:val="left"/>
        <w:rPr>
          <w:sz w:val="20"/>
        </w:rPr>
      </w:pPr>
    </w:p>
    <w:p w:rsidR="00CF6B46" w:rsidRPr="00C90618" w:rsidRDefault="00CF6B46" w:rsidP="00CF6B46">
      <w:pPr>
        <w:jc w:val="left"/>
        <w:rPr>
          <w:sz w:val="20"/>
        </w:rPr>
      </w:pPr>
      <w:r w:rsidRPr="00C90618">
        <w:rPr>
          <w:sz w:val="20"/>
        </w:rPr>
        <w:t xml:space="preserve">In </w:t>
      </w:r>
      <w:r>
        <w:rPr>
          <w:sz w:val="20"/>
        </w:rPr>
        <w:t>natural</w:t>
      </w:r>
      <w:r w:rsidRPr="00C90618">
        <w:rPr>
          <w:sz w:val="20"/>
        </w:rPr>
        <w:t xml:space="preserve"> propagation and restoration </w:t>
      </w:r>
      <w:r>
        <w:rPr>
          <w:sz w:val="20"/>
        </w:rPr>
        <w:t>areas</w:t>
      </w:r>
      <w:r w:rsidRPr="00C90618">
        <w:rPr>
          <w:sz w:val="20"/>
        </w:rPr>
        <w:t xml:space="preserve">, </w:t>
      </w:r>
      <w:r>
        <w:rPr>
          <w:sz w:val="20"/>
        </w:rPr>
        <w:t xml:space="preserve">the plants must be protected by </w:t>
      </w:r>
      <w:proofErr w:type="spellStart"/>
      <w:r>
        <w:rPr>
          <w:sz w:val="20"/>
        </w:rPr>
        <w:t>exclosure</w:t>
      </w:r>
      <w:proofErr w:type="spellEnd"/>
      <w:r>
        <w:rPr>
          <w:sz w:val="20"/>
        </w:rPr>
        <w:t xml:space="preserve"> from </w:t>
      </w:r>
      <w:r w:rsidRPr="00C90618">
        <w:rPr>
          <w:sz w:val="20"/>
        </w:rPr>
        <w:t xml:space="preserve">natural predators </w:t>
      </w:r>
      <w:r>
        <w:rPr>
          <w:sz w:val="20"/>
        </w:rPr>
        <w:t>of</w:t>
      </w:r>
      <w:r w:rsidRPr="00C90618">
        <w:rPr>
          <w:sz w:val="20"/>
        </w:rPr>
        <w:t xml:space="preserve"> the plants, such as crabs or </w:t>
      </w:r>
      <w:proofErr w:type="spellStart"/>
      <w:r w:rsidRPr="00C90618">
        <w:rPr>
          <w:sz w:val="20"/>
        </w:rPr>
        <w:t>cownose</w:t>
      </w:r>
      <w:proofErr w:type="spellEnd"/>
      <w:r w:rsidRPr="00C90618">
        <w:rPr>
          <w:sz w:val="20"/>
        </w:rPr>
        <w:t xml:space="preserve"> </w:t>
      </w:r>
      <w:r w:rsidRPr="00C90618">
        <w:rPr>
          <w:sz w:val="20"/>
        </w:rPr>
        <w:lastRenderedPageBreak/>
        <w:t>rays</w:t>
      </w:r>
      <w:r>
        <w:rPr>
          <w:sz w:val="20"/>
        </w:rPr>
        <w:t>.</w:t>
      </w:r>
      <w:r w:rsidRPr="00C90618">
        <w:rPr>
          <w:sz w:val="20"/>
        </w:rPr>
        <w:t xml:space="preserve"> </w:t>
      </w:r>
      <w:r>
        <w:rPr>
          <w:sz w:val="20"/>
        </w:rPr>
        <w:t>T</w:t>
      </w:r>
      <w:r w:rsidRPr="00C90618">
        <w:rPr>
          <w:sz w:val="20"/>
        </w:rPr>
        <w:t xml:space="preserve">here are few prescriptions for </w:t>
      </w:r>
      <w:r>
        <w:rPr>
          <w:sz w:val="20"/>
        </w:rPr>
        <w:t xml:space="preserve">the </w:t>
      </w:r>
      <w:r w:rsidRPr="00C90618">
        <w:rPr>
          <w:sz w:val="20"/>
        </w:rPr>
        <w:t xml:space="preserve">spacing </w:t>
      </w:r>
      <w:r>
        <w:rPr>
          <w:sz w:val="20"/>
        </w:rPr>
        <w:t>of</w:t>
      </w:r>
      <w:r w:rsidRPr="00C90618">
        <w:rPr>
          <w:sz w:val="20"/>
        </w:rPr>
        <w:t xml:space="preserve"> plants. </w:t>
      </w:r>
      <w:r>
        <w:rPr>
          <w:sz w:val="20"/>
        </w:rPr>
        <w:t>R</w:t>
      </w:r>
      <w:r w:rsidRPr="00C90618">
        <w:rPr>
          <w:sz w:val="20"/>
        </w:rPr>
        <w:t xml:space="preserve">estoration in the </w:t>
      </w:r>
      <w:proofErr w:type="gramStart"/>
      <w:r w:rsidRPr="00C90618">
        <w:rPr>
          <w:sz w:val="20"/>
        </w:rPr>
        <w:t>field,</w:t>
      </w:r>
      <w:proofErr w:type="gramEnd"/>
      <w:r w:rsidRPr="00C90618">
        <w:rPr>
          <w:sz w:val="20"/>
        </w:rPr>
        <w:t xml:space="preserve"> </w:t>
      </w:r>
      <w:r>
        <w:rPr>
          <w:sz w:val="20"/>
        </w:rPr>
        <w:t xml:space="preserve">is composed of </w:t>
      </w:r>
      <w:proofErr w:type="spellStart"/>
      <w:r w:rsidRPr="00C90618">
        <w:rPr>
          <w:sz w:val="20"/>
        </w:rPr>
        <w:t>propagules</w:t>
      </w:r>
      <w:proofErr w:type="spellEnd"/>
      <w:r w:rsidRPr="00C90618">
        <w:rPr>
          <w:sz w:val="20"/>
        </w:rPr>
        <w:t xml:space="preserve"> typically planted in a grid compris</w:t>
      </w:r>
      <w:r>
        <w:rPr>
          <w:sz w:val="20"/>
        </w:rPr>
        <w:t>ing</w:t>
      </w:r>
      <w:r w:rsidRPr="00C90618">
        <w:rPr>
          <w:sz w:val="20"/>
        </w:rPr>
        <w:t xml:space="preserve"> an entire grass bed. </w:t>
      </w:r>
      <w:proofErr w:type="spellStart"/>
      <w:r w:rsidRPr="00C90618">
        <w:rPr>
          <w:sz w:val="20"/>
        </w:rPr>
        <w:t>Ailstock</w:t>
      </w:r>
      <w:proofErr w:type="spellEnd"/>
      <w:r w:rsidRPr="00C90618">
        <w:rPr>
          <w:sz w:val="20"/>
        </w:rPr>
        <w:t xml:space="preserve"> (2007) recommends seeding 16 seeds per sq ft (696,960</w:t>
      </w:r>
      <w:r>
        <w:rPr>
          <w:sz w:val="20"/>
        </w:rPr>
        <w:t xml:space="preserve"> </w:t>
      </w:r>
      <w:r w:rsidRPr="00C90618">
        <w:rPr>
          <w:sz w:val="20"/>
        </w:rPr>
        <w:t>seed/acre), while restoration plantings of winter bud or individual plant densities might be half that number at 5 to 10 units per sq. ft.</w:t>
      </w:r>
    </w:p>
    <w:p w:rsidR="00721B7E" w:rsidRPr="00721B7E" w:rsidRDefault="00CD49CC" w:rsidP="00721B7E">
      <w:pPr>
        <w:pStyle w:val="Heading3"/>
      </w:pPr>
      <w:r w:rsidRPr="00721B7E">
        <w:t>Management</w:t>
      </w:r>
    </w:p>
    <w:p w:rsidR="00CF6B46" w:rsidRDefault="00CF6B46" w:rsidP="00CF6B46">
      <w:pPr>
        <w:pStyle w:val="BodytextNRCS"/>
      </w:pPr>
      <w:r w:rsidRPr="00994FC3">
        <w:t>In a domestic tank or experimental setting, one of the major concerns in the aquatic environment is ensuring that algae or invasive vegetation do not overwhelm desired stock plants. Keeping nutrients and organic matter low</w:t>
      </w:r>
      <w:r>
        <w:t>, as well as the use of herbivores such as snails, fish or tadpoles</w:t>
      </w:r>
      <w:r w:rsidRPr="00994FC3">
        <w:t xml:space="preserve"> will help </w:t>
      </w:r>
      <w:r>
        <w:t xml:space="preserve">reduce algae. Skimming and removal of algae </w:t>
      </w:r>
      <w:r w:rsidRPr="00994FC3">
        <w:t xml:space="preserve">with nets similar to those used cleaning pools </w:t>
      </w:r>
      <w:r>
        <w:t>will removed entrained nutrients and temporarily reduce completion. Large tanks with substrate filled bottoms may be more difficult to maintain than in tanks where plants are grown in removable trays filled with substrate.   G</w:t>
      </w:r>
      <w:r w:rsidRPr="00994FC3">
        <w:t xml:space="preserve">reater control of invasive plants can be maintained </w:t>
      </w:r>
      <w:r>
        <w:t>by</w:t>
      </w:r>
      <w:r w:rsidRPr="00994FC3">
        <w:t xml:space="preserve"> limit</w:t>
      </w:r>
      <w:r>
        <w:t>ing</w:t>
      </w:r>
      <w:r w:rsidRPr="00994FC3">
        <w:t xml:space="preserve"> </w:t>
      </w:r>
      <w:r>
        <w:t>the spread</w:t>
      </w:r>
      <w:r w:rsidRPr="00994FC3">
        <w:t xml:space="preserve"> and eliminat</w:t>
      </w:r>
      <w:r>
        <w:t>ing the invasive</w:t>
      </w:r>
      <w:r w:rsidRPr="00994FC3">
        <w:t xml:space="preserve"> from just one tray </w:t>
      </w:r>
      <w:r>
        <w:t>rather than a whole tank</w:t>
      </w:r>
      <w:r w:rsidRPr="00994FC3">
        <w:t>. Aeration of the tanks with a biological or other filter can help maintain water quality as well as provide aeration for</w:t>
      </w:r>
      <w:r>
        <w:t xml:space="preserve"> </w:t>
      </w:r>
      <w:r w:rsidRPr="00994FC3">
        <w:t xml:space="preserve">improved growth. Holding tanks may be more susceptible to invasion from other plants if they are near other holding tanks with other species, or if there is a variety of bird life visiting the tanks. </w:t>
      </w:r>
    </w:p>
    <w:p w:rsidR="00CF6B46" w:rsidRDefault="00CF6B46" w:rsidP="00CF6B46">
      <w:pPr>
        <w:jc w:val="left"/>
        <w:rPr>
          <w:sz w:val="20"/>
        </w:rPr>
      </w:pPr>
    </w:p>
    <w:p w:rsidR="00CF6B46" w:rsidRDefault="00CF6B46" w:rsidP="00CF6B46">
      <w:pPr>
        <w:jc w:val="left"/>
        <w:rPr>
          <w:sz w:val="20"/>
        </w:rPr>
      </w:pPr>
      <w:r w:rsidRPr="00994FC3">
        <w:rPr>
          <w:sz w:val="20"/>
        </w:rPr>
        <w:t>Extensive harvesting or digging in tanks filled with sediments also give</w:t>
      </w:r>
      <w:r>
        <w:rPr>
          <w:sz w:val="20"/>
        </w:rPr>
        <w:t>s</w:t>
      </w:r>
      <w:r w:rsidRPr="00994FC3">
        <w:rPr>
          <w:sz w:val="20"/>
        </w:rPr>
        <w:t xml:space="preserve"> invaders the opportunity to exploit a disturbed environment. </w:t>
      </w:r>
      <w:r>
        <w:rPr>
          <w:sz w:val="20"/>
        </w:rPr>
        <w:t>When a tank becomes overwhelmed by an invading species the</w:t>
      </w:r>
      <w:r w:rsidRPr="00994FC3">
        <w:rPr>
          <w:sz w:val="20"/>
        </w:rPr>
        <w:t xml:space="preserve"> substrate may need to be changed completely</w:t>
      </w:r>
      <w:r>
        <w:rPr>
          <w:sz w:val="20"/>
        </w:rPr>
        <w:t>, additional desired plants added to increase density,</w:t>
      </w:r>
      <w:r w:rsidRPr="00994FC3">
        <w:rPr>
          <w:sz w:val="20"/>
        </w:rPr>
        <w:t xml:space="preserve"> and/or </w:t>
      </w:r>
      <w:r>
        <w:rPr>
          <w:sz w:val="20"/>
        </w:rPr>
        <w:t>the</w:t>
      </w:r>
      <w:r w:rsidRPr="00994FC3">
        <w:rPr>
          <w:sz w:val="20"/>
        </w:rPr>
        <w:t xml:space="preserve"> entire </w:t>
      </w:r>
      <w:r>
        <w:rPr>
          <w:sz w:val="20"/>
        </w:rPr>
        <w:t xml:space="preserve">tank </w:t>
      </w:r>
      <w:r w:rsidRPr="00994FC3">
        <w:rPr>
          <w:sz w:val="20"/>
        </w:rPr>
        <w:t>replant</w:t>
      </w:r>
      <w:r>
        <w:rPr>
          <w:sz w:val="20"/>
        </w:rPr>
        <w:t>ed</w:t>
      </w:r>
      <w:r w:rsidRPr="00994FC3">
        <w:rPr>
          <w:sz w:val="20"/>
        </w:rPr>
        <w:t xml:space="preserve">.  </w:t>
      </w:r>
    </w:p>
    <w:p w:rsidR="00CF6B46" w:rsidRDefault="00CF6B46" w:rsidP="00CF6B46">
      <w:pPr>
        <w:jc w:val="left"/>
        <w:rPr>
          <w:sz w:val="20"/>
        </w:rPr>
      </w:pPr>
    </w:p>
    <w:p w:rsidR="00CF6B46" w:rsidRPr="00994FC3" w:rsidRDefault="00CF6B46" w:rsidP="00CF6B46">
      <w:pPr>
        <w:jc w:val="left"/>
        <w:rPr>
          <w:sz w:val="20"/>
        </w:rPr>
      </w:pPr>
      <w:proofErr w:type="spellStart"/>
      <w:r>
        <w:rPr>
          <w:sz w:val="20"/>
        </w:rPr>
        <w:t>H</w:t>
      </w:r>
      <w:r w:rsidRPr="00994FC3">
        <w:rPr>
          <w:sz w:val="20"/>
        </w:rPr>
        <w:t>erbivory</w:t>
      </w:r>
      <w:proofErr w:type="spellEnd"/>
      <w:r w:rsidRPr="00994FC3">
        <w:rPr>
          <w:sz w:val="20"/>
        </w:rPr>
        <w:t xml:space="preserve"> </w:t>
      </w:r>
      <w:r>
        <w:rPr>
          <w:sz w:val="20"/>
        </w:rPr>
        <w:t xml:space="preserve">in outdoor tanks </w:t>
      </w:r>
      <w:r w:rsidRPr="00994FC3">
        <w:rPr>
          <w:sz w:val="20"/>
        </w:rPr>
        <w:t xml:space="preserve">from waterfowl, particularly Canada </w:t>
      </w:r>
      <w:proofErr w:type="gramStart"/>
      <w:r w:rsidRPr="00994FC3">
        <w:rPr>
          <w:sz w:val="20"/>
        </w:rPr>
        <w:t>geese,</w:t>
      </w:r>
      <w:proofErr w:type="gramEnd"/>
      <w:r w:rsidRPr="00994FC3">
        <w:rPr>
          <w:sz w:val="20"/>
        </w:rPr>
        <w:t xml:space="preserve"> </w:t>
      </w:r>
      <w:r>
        <w:rPr>
          <w:sz w:val="20"/>
        </w:rPr>
        <w:t xml:space="preserve">may be a problem. It can be discouraged with </w:t>
      </w:r>
      <w:proofErr w:type="spellStart"/>
      <w:r>
        <w:rPr>
          <w:sz w:val="20"/>
        </w:rPr>
        <w:t>s</w:t>
      </w:r>
      <w:r w:rsidRPr="00994FC3">
        <w:rPr>
          <w:sz w:val="20"/>
        </w:rPr>
        <w:t>hadecloth</w:t>
      </w:r>
      <w:proofErr w:type="spellEnd"/>
      <w:r w:rsidRPr="00994FC3">
        <w:rPr>
          <w:sz w:val="20"/>
        </w:rPr>
        <w:t xml:space="preserve"> or strings </w:t>
      </w:r>
      <w:proofErr w:type="spellStart"/>
      <w:r w:rsidRPr="00994FC3">
        <w:rPr>
          <w:sz w:val="20"/>
        </w:rPr>
        <w:t>criss</w:t>
      </w:r>
      <w:proofErr w:type="spellEnd"/>
      <w:r w:rsidRPr="00994FC3">
        <w:rPr>
          <w:sz w:val="20"/>
        </w:rPr>
        <w:t>-crossed over the top and on the sides of the tanks</w:t>
      </w:r>
      <w:r>
        <w:rPr>
          <w:sz w:val="20"/>
        </w:rPr>
        <w:t>.</w:t>
      </w:r>
    </w:p>
    <w:p w:rsidR="00721B7E" w:rsidRDefault="00CD49CC" w:rsidP="00721B7E">
      <w:pPr>
        <w:pStyle w:val="Heading3"/>
      </w:pPr>
      <w:r w:rsidRPr="00A90532">
        <w:t>Pests and Potential Problems</w:t>
      </w:r>
    </w:p>
    <w:p w:rsidR="00CF6B46" w:rsidRDefault="00CF6B46" w:rsidP="00CF6B46">
      <w:pPr>
        <w:jc w:val="left"/>
      </w:pPr>
      <w:r w:rsidRPr="00994FC3">
        <w:rPr>
          <w:sz w:val="20"/>
        </w:rPr>
        <w:t xml:space="preserve">While there are species of insects that use </w:t>
      </w:r>
      <w:proofErr w:type="spellStart"/>
      <w:r>
        <w:rPr>
          <w:sz w:val="20"/>
        </w:rPr>
        <w:t>claspingleaf</w:t>
      </w:r>
      <w:proofErr w:type="spellEnd"/>
      <w:r>
        <w:rPr>
          <w:sz w:val="20"/>
        </w:rPr>
        <w:t xml:space="preserve"> pondweed</w:t>
      </w:r>
      <w:r w:rsidRPr="00994FC3">
        <w:rPr>
          <w:sz w:val="20"/>
        </w:rPr>
        <w:t xml:space="preserve"> as part of their life cycle, either for egg laying or </w:t>
      </w:r>
      <w:proofErr w:type="spellStart"/>
      <w:r w:rsidRPr="00994FC3">
        <w:rPr>
          <w:sz w:val="20"/>
        </w:rPr>
        <w:t>herbivory</w:t>
      </w:r>
      <w:proofErr w:type="spellEnd"/>
      <w:r w:rsidRPr="00994FC3">
        <w:rPr>
          <w:sz w:val="20"/>
        </w:rPr>
        <w:t xml:space="preserve"> in adulthood, most of the species native to the areas where these beds are found do not seem to have a marked negative effect on the plants (Stevenson 1988). Non-migrating Canada geese graze extensively on the vegetation</w:t>
      </w:r>
      <w:r>
        <w:rPr>
          <w:sz w:val="20"/>
        </w:rPr>
        <w:t xml:space="preserve">. </w:t>
      </w:r>
      <w:proofErr w:type="spellStart"/>
      <w:r>
        <w:rPr>
          <w:sz w:val="20"/>
        </w:rPr>
        <w:t>Theworst</w:t>
      </w:r>
      <w:proofErr w:type="spellEnd"/>
      <w:r>
        <w:rPr>
          <w:sz w:val="20"/>
        </w:rPr>
        <w:t xml:space="preserve"> </w:t>
      </w:r>
      <w:r w:rsidRPr="00994FC3">
        <w:rPr>
          <w:sz w:val="20"/>
        </w:rPr>
        <w:t xml:space="preserve">herbivores of </w:t>
      </w:r>
      <w:r>
        <w:rPr>
          <w:sz w:val="20"/>
        </w:rPr>
        <w:t>submerged aquatic vegetation (</w:t>
      </w:r>
      <w:r w:rsidRPr="00994FC3">
        <w:rPr>
          <w:sz w:val="20"/>
        </w:rPr>
        <w:t>SAV</w:t>
      </w:r>
      <w:r>
        <w:rPr>
          <w:sz w:val="20"/>
        </w:rPr>
        <w:t>)</w:t>
      </w:r>
      <w:r w:rsidRPr="00994FC3">
        <w:rPr>
          <w:sz w:val="20"/>
        </w:rPr>
        <w:t xml:space="preserve"> are the non-native mute swans and native </w:t>
      </w:r>
      <w:proofErr w:type="spellStart"/>
      <w:r w:rsidRPr="00994FC3">
        <w:rPr>
          <w:sz w:val="20"/>
        </w:rPr>
        <w:t>cownose</w:t>
      </w:r>
      <w:proofErr w:type="spellEnd"/>
      <w:r w:rsidRPr="00994FC3">
        <w:rPr>
          <w:sz w:val="20"/>
        </w:rPr>
        <w:t xml:space="preserve"> rays. While it is unlikely they will wipe out the entire SAV population in a given water body, they do reduce above and belowground plant material, and they </w:t>
      </w:r>
      <w:r>
        <w:rPr>
          <w:sz w:val="20"/>
        </w:rPr>
        <w:t>may</w:t>
      </w:r>
      <w:r w:rsidRPr="00994FC3">
        <w:rPr>
          <w:sz w:val="20"/>
        </w:rPr>
        <w:t xml:space="preserve"> destroy restoration plantings in a single visit. </w:t>
      </w:r>
    </w:p>
    <w:p w:rsidR="00CD49CC" w:rsidRPr="00721B7E" w:rsidRDefault="00CD49CC" w:rsidP="00721B7E">
      <w:pPr>
        <w:pStyle w:val="Heading3"/>
      </w:pPr>
      <w:r w:rsidRPr="00721B7E">
        <w:lastRenderedPageBreak/>
        <w:t>Environmental Concerns</w:t>
      </w:r>
    </w:p>
    <w:p w:rsidR="00CF6B46" w:rsidRPr="00994FC3" w:rsidRDefault="00CF6B46" w:rsidP="00CF6B46">
      <w:pPr>
        <w:jc w:val="left"/>
        <w:rPr>
          <w:sz w:val="20"/>
        </w:rPr>
      </w:pPr>
      <w:r w:rsidRPr="00994FC3">
        <w:rPr>
          <w:sz w:val="20"/>
        </w:rPr>
        <w:t xml:space="preserve">There are no known issues with respect to </w:t>
      </w:r>
      <w:proofErr w:type="spellStart"/>
      <w:r>
        <w:rPr>
          <w:sz w:val="20"/>
        </w:rPr>
        <w:t>claspingleaf</w:t>
      </w:r>
      <w:proofErr w:type="spellEnd"/>
      <w:r>
        <w:rPr>
          <w:sz w:val="20"/>
        </w:rPr>
        <w:t xml:space="preserve"> pondweed</w:t>
      </w:r>
      <w:r w:rsidRPr="00994FC3">
        <w:rPr>
          <w:sz w:val="20"/>
        </w:rPr>
        <w:t xml:space="preserve"> and environmental </w:t>
      </w:r>
      <w:r>
        <w:rPr>
          <w:sz w:val="20"/>
        </w:rPr>
        <w:t>concerns</w:t>
      </w:r>
      <w:r w:rsidRPr="00994FC3">
        <w:rPr>
          <w:sz w:val="20"/>
        </w:rPr>
        <w:t xml:space="preserve">. </w:t>
      </w:r>
      <w:r>
        <w:rPr>
          <w:sz w:val="20"/>
        </w:rPr>
        <w:t xml:space="preserve">Man made </w:t>
      </w:r>
      <w:r w:rsidRPr="00994FC3">
        <w:rPr>
          <w:sz w:val="20"/>
        </w:rPr>
        <w:t>activities such as boating, dredging and coastal development pose major challenges to grass bed longevity.</w:t>
      </w:r>
    </w:p>
    <w:p w:rsidR="000D3A30" w:rsidRPr="00A90532" w:rsidRDefault="000D3A30" w:rsidP="00721B7E">
      <w:pPr>
        <w:pStyle w:val="Heading3"/>
        <w:rPr>
          <w:i/>
          <w:iCs/>
        </w:rPr>
      </w:pPr>
      <w:r w:rsidRPr="00A90532">
        <w:t>Control</w:t>
      </w:r>
    </w:p>
    <w:p w:rsidR="00CF6B46" w:rsidRDefault="00CF6B46" w:rsidP="00CF6B46">
      <w:pPr>
        <w:jc w:val="left"/>
        <w:rPr>
          <w:sz w:val="20"/>
        </w:rPr>
      </w:pPr>
      <w:r w:rsidRPr="00994FC3">
        <w:rPr>
          <w:sz w:val="20"/>
        </w:rPr>
        <w:t xml:space="preserve">Mechanized cutting </w:t>
      </w:r>
      <w:r>
        <w:rPr>
          <w:sz w:val="20"/>
        </w:rPr>
        <w:t>is</w:t>
      </w:r>
      <w:r w:rsidRPr="00994FC3">
        <w:rPr>
          <w:sz w:val="20"/>
        </w:rPr>
        <w:t xml:space="preserve"> effective for controlling </w:t>
      </w:r>
      <w:proofErr w:type="spellStart"/>
      <w:r>
        <w:rPr>
          <w:sz w:val="20"/>
        </w:rPr>
        <w:t>claspingleaf</w:t>
      </w:r>
      <w:proofErr w:type="spellEnd"/>
      <w:r>
        <w:rPr>
          <w:sz w:val="20"/>
        </w:rPr>
        <w:t xml:space="preserve"> pondweed</w:t>
      </w:r>
      <w:r w:rsidRPr="00994FC3">
        <w:rPr>
          <w:sz w:val="20"/>
        </w:rPr>
        <w:t xml:space="preserve">, and </w:t>
      </w:r>
      <w:r>
        <w:rPr>
          <w:sz w:val="20"/>
        </w:rPr>
        <w:t xml:space="preserve">the </w:t>
      </w:r>
      <w:r w:rsidRPr="00994FC3">
        <w:rPr>
          <w:sz w:val="20"/>
        </w:rPr>
        <w:t>least harmful to other species.</w:t>
      </w:r>
    </w:p>
    <w:p w:rsidR="00721B7E" w:rsidRDefault="002375B8" w:rsidP="00721B7E">
      <w:pPr>
        <w:pStyle w:val="Heading3"/>
      </w:pPr>
      <w:r w:rsidRPr="00A90532">
        <w:t>Seeds and Plant Production</w:t>
      </w:r>
    </w:p>
    <w:p w:rsidR="00CF6B46" w:rsidRPr="00994FC3" w:rsidRDefault="00CF6B46" w:rsidP="00CF6B46">
      <w:pPr>
        <w:jc w:val="left"/>
        <w:rPr>
          <w:sz w:val="20"/>
        </w:rPr>
      </w:pPr>
      <w:proofErr w:type="spellStart"/>
      <w:r>
        <w:rPr>
          <w:sz w:val="20"/>
        </w:rPr>
        <w:t>Claspingleaf</w:t>
      </w:r>
      <w:proofErr w:type="spellEnd"/>
      <w:r>
        <w:rPr>
          <w:sz w:val="20"/>
        </w:rPr>
        <w:t xml:space="preserve"> pondweed</w:t>
      </w:r>
      <w:r w:rsidRPr="00994FC3">
        <w:rPr>
          <w:sz w:val="20"/>
        </w:rPr>
        <w:t xml:space="preserve"> seeds are available through wild collection, </w:t>
      </w:r>
      <w:r>
        <w:rPr>
          <w:sz w:val="20"/>
        </w:rPr>
        <w:t xml:space="preserve">requiring </w:t>
      </w:r>
      <w:r w:rsidRPr="00994FC3">
        <w:rPr>
          <w:sz w:val="20"/>
        </w:rPr>
        <w:t xml:space="preserve">a permit. Seed weight and </w:t>
      </w:r>
      <w:r>
        <w:rPr>
          <w:sz w:val="20"/>
        </w:rPr>
        <w:t>viability</w:t>
      </w:r>
      <w:r w:rsidRPr="00994FC3">
        <w:rPr>
          <w:sz w:val="20"/>
        </w:rPr>
        <w:t xml:space="preserve"> is dependent upon time of collection. </w:t>
      </w:r>
      <w:r>
        <w:rPr>
          <w:sz w:val="20"/>
        </w:rPr>
        <w:t>M</w:t>
      </w:r>
      <w:r w:rsidRPr="00994FC3">
        <w:rPr>
          <w:sz w:val="20"/>
        </w:rPr>
        <w:t>ature wild seed per pound can range from 3,839 seeds up to 11,088 seeds per pound (</w:t>
      </w:r>
      <w:proofErr w:type="spellStart"/>
      <w:r w:rsidRPr="00994FC3">
        <w:rPr>
          <w:sz w:val="20"/>
        </w:rPr>
        <w:t>Ailstock</w:t>
      </w:r>
      <w:proofErr w:type="spellEnd"/>
      <w:r w:rsidRPr="00994FC3">
        <w:rPr>
          <w:sz w:val="20"/>
        </w:rPr>
        <w:t xml:space="preserve"> and Shafer 2004).</w:t>
      </w:r>
    </w:p>
    <w:p w:rsidR="00CD49CC" w:rsidRDefault="00CD49CC" w:rsidP="00721B7E">
      <w:pPr>
        <w:pStyle w:val="Heading3"/>
      </w:pPr>
      <w:r w:rsidRPr="00A90532">
        <w:t>Cultivars, Improved, and Selected Materials (and area of origin)</w:t>
      </w:r>
    </w:p>
    <w:p w:rsidR="00CF6B46" w:rsidRDefault="00CF6B46" w:rsidP="00CF6B46">
      <w:pPr>
        <w:pStyle w:val="Bodytext0"/>
      </w:pPr>
      <w:r>
        <w:t xml:space="preserve">There are no known cultivars, improved, and/or selected materials for </w:t>
      </w:r>
      <w:proofErr w:type="spellStart"/>
      <w:r>
        <w:t>claspingleaf</w:t>
      </w:r>
      <w:proofErr w:type="spellEnd"/>
      <w:r>
        <w:t xml:space="preserve"> pondweed.  This plant is commercially available from specialized coastal and wetland plant nurseries.</w:t>
      </w:r>
    </w:p>
    <w:p w:rsidR="002375B8" w:rsidRPr="00A90532" w:rsidRDefault="002375B8" w:rsidP="00721B7E">
      <w:pPr>
        <w:pStyle w:val="Heading3"/>
        <w:rPr>
          <w:i/>
          <w:iCs/>
        </w:rPr>
      </w:pPr>
      <w:r w:rsidRPr="00A90532">
        <w:t>References</w:t>
      </w:r>
    </w:p>
    <w:p w:rsidR="00CF6B46" w:rsidRPr="00A90532" w:rsidRDefault="00CF6B46" w:rsidP="00CF6B46">
      <w:pPr>
        <w:pStyle w:val="Heading4"/>
        <w:rPr>
          <w:b/>
          <w:bCs/>
          <w:i w:val="0"/>
          <w:iCs w:val="0"/>
        </w:rPr>
      </w:pPr>
      <w:r w:rsidRPr="00A90532">
        <w:rPr>
          <w:b/>
          <w:bCs/>
          <w:i w:val="0"/>
          <w:iCs w:val="0"/>
        </w:rPr>
        <w:t>References</w:t>
      </w:r>
    </w:p>
    <w:p w:rsidR="00CF6B46" w:rsidRDefault="00CF6B46" w:rsidP="00CF6B46">
      <w:pPr>
        <w:jc w:val="left"/>
        <w:rPr>
          <w:sz w:val="20"/>
        </w:rPr>
      </w:pPr>
      <w:proofErr w:type="spellStart"/>
      <w:proofErr w:type="gramStart"/>
      <w:r w:rsidRPr="00994FC3">
        <w:rPr>
          <w:sz w:val="20"/>
        </w:rPr>
        <w:t>Ailstock</w:t>
      </w:r>
      <w:proofErr w:type="spellEnd"/>
      <w:r w:rsidRPr="00994FC3">
        <w:rPr>
          <w:sz w:val="20"/>
        </w:rPr>
        <w:t xml:space="preserve"> S. and D. Schafer.</w:t>
      </w:r>
      <w:proofErr w:type="gramEnd"/>
      <w:r w:rsidRPr="00994FC3">
        <w:rPr>
          <w:sz w:val="20"/>
        </w:rPr>
        <w:t xml:space="preserve"> 2004. Restoration </w:t>
      </w:r>
    </w:p>
    <w:p w:rsidR="00CF6B46" w:rsidRPr="00994FC3" w:rsidRDefault="00CF6B46" w:rsidP="00CF6B46">
      <w:pPr>
        <w:ind w:left="180"/>
        <w:jc w:val="left"/>
        <w:rPr>
          <w:i/>
          <w:sz w:val="20"/>
        </w:rPr>
      </w:pPr>
      <w:proofErr w:type="gramStart"/>
      <w:r w:rsidRPr="00994FC3">
        <w:rPr>
          <w:sz w:val="20"/>
        </w:rPr>
        <w:t>potential</w:t>
      </w:r>
      <w:proofErr w:type="gramEnd"/>
      <w:r w:rsidRPr="00994FC3">
        <w:rPr>
          <w:sz w:val="20"/>
        </w:rPr>
        <w:t xml:space="preserve"> of </w:t>
      </w:r>
      <w:proofErr w:type="spellStart"/>
      <w:r w:rsidRPr="00994FC3">
        <w:rPr>
          <w:i/>
          <w:sz w:val="20"/>
        </w:rPr>
        <w:t>Ruppia</w:t>
      </w:r>
      <w:proofErr w:type="spellEnd"/>
      <w:r w:rsidRPr="00994FC3">
        <w:rPr>
          <w:i/>
          <w:sz w:val="20"/>
        </w:rPr>
        <w:t xml:space="preserve"> maritime</w:t>
      </w:r>
      <w:r w:rsidRPr="00994FC3">
        <w:rPr>
          <w:sz w:val="20"/>
        </w:rPr>
        <w:t xml:space="preserve"> and </w:t>
      </w:r>
      <w:proofErr w:type="spellStart"/>
      <w:r w:rsidRPr="00994FC3">
        <w:rPr>
          <w:i/>
          <w:sz w:val="20"/>
        </w:rPr>
        <w:t>Potamogeton</w:t>
      </w:r>
      <w:proofErr w:type="spellEnd"/>
      <w:r w:rsidRPr="00994FC3">
        <w:rPr>
          <w:i/>
          <w:sz w:val="20"/>
        </w:rPr>
        <w:t xml:space="preserve"> </w:t>
      </w:r>
    </w:p>
    <w:p w:rsidR="00CF6B46" w:rsidRPr="00994FC3" w:rsidRDefault="00CF6B46" w:rsidP="00CF6B46">
      <w:pPr>
        <w:ind w:left="180"/>
        <w:jc w:val="left"/>
        <w:rPr>
          <w:sz w:val="20"/>
        </w:rPr>
      </w:pPr>
      <w:proofErr w:type="spellStart"/>
      <w:proofErr w:type="gramStart"/>
      <w:r w:rsidRPr="00994FC3">
        <w:rPr>
          <w:i/>
          <w:sz w:val="20"/>
        </w:rPr>
        <w:t>perfoliatus</w:t>
      </w:r>
      <w:proofErr w:type="spellEnd"/>
      <w:proofErr w:type="gramEnd"/>
      <w:r w:rsidRPr="00994FC3">
        <w:rPr>
          <w:sz w:val="20"/>
        </w:rPr>
        <w:t xml:space="preserve"> by seed in the Mid-Chesapeake Bay. US Army Corps of Engineers Publication </w:t>
      </w:r>
    </w:p>
    <w:p w:rsidR="00CF6B46" w:rsidRDefault="00CF6B46" w:rsidP="00CF6B46">
      <w:pPr>
        <w:ind w:left="180"/>
        <w:jc w:val="left"/>
        <w:rPr>
          <w:sz w:val="20"/>
        </w:rPr>
      </w:pPr>
      <w:proofErr w:type="gramStart"/>
      <w:r w:rsidRPr="00994FC3">
        <w:rPr>
          <w:sz w:val="20"/>
        </w:rPr>
        <w:t>ERDC/TN EL-04-02.</w:t>
      </w:r>
      <w:proofErr w:type="gramEnd"/>
    </w:p>
    <w:p w:rsidR="00CF6B46" w:rsidRDefault="00CF6B46" w:rsidP="00CF6B46">
      <w:pPr>
        <w:jc w:val="left"/>
        <w:rPr>
          <w:sz w:val="20"/>
        </w:rPr>
      </w:pPr>
      <w:r w:rsidRPr="00994FC3">
        <w:rPr>
          <w:sz w:val="20"/>
        </w:rPr>
        <w:t xml:space="preserve">Bergstrom, Peter W., Robert F. Murphy, Michael D. </w:t>
      </w:r>
    </w:p>
    <w:p w:rsidR="00CF6B46" w:rsidRDefault="00CF6B46" w:rsidP="00CF6B46">
      <w:pPr>
        <w:ind w:left="180"/>
        <w:jc w:val="left"/>
        <w:rPr>
          <w:sz w:val="20"/>
        </w:rPr>
      </w:pPr>
      <w:proofErr w:type="gramStart"/>
      <w:r w:rsidRPr="00994FC3">
        <w:rPr>
          <w:sz w:val="20"/>
        </w:rPr>
        <w:t>Naylor, Ryan C. Davis, and Justin T. Reel.</w:t>
      </w:r>
      <w:proofErr w:type="gramEnd"/>
      <w:r w:rsidRPr="00994FC3">
        <w:rPr>
          <w:sz w:val="20"/>
        </w:rPr>
        <w:t xml:space="preserve"> 2006. Underwater grasses in Chesapeake Bay and Mid-Atlantic coastal waters: guide to identifying submerged aquatic vegetation. </w:t>
      </w:r>
      <w:proofErr w:type="gramStart"/>
      <w:r w:rsidRPr="00994FC3">
        <w:rPr>
          <w:sz w:val="20"/>
        </w:rPr>
        <w:t>Maryland Sea Grant Publication Number UM-SG-PI-2006-01.</w:t>
      </w:r>
      <w:proofErr w:type="gramEnd"/>
      <w:r w:rsidRPr="00994FC3">
        <w:rPr>
          <w:sz w:val="20"/>
        </w:rPr>
        <w:t xml:space="preserve"> College Park, MD.</w:t>
      </w:r>
    </w:p>
    <w:p w:rsidR="00CF6B46" w:rsidRDefault="00CF6B46" w:rsidP="00CF6B46">
      <w:pPr>
        <w:jc w:val="left"/>
        <w:rPr>
          <w:sz w:val="20"/>
        </w:rPr>
      </w:pPr>
      <w:proofErr w:type="gramStart"/>
      <w:r w:rsidRPr="00994FC3">
        <w:rPr>
          <w:sz w:val="20"/>
        </w:rPr>
        <w:t xml:space="preserve">Bushman, Paul J. and M. Stephen </w:t>
      </w:r>
      <w:proofErr w:type="spellStart"/>
      <w:r w:rsidRPr="00994FC3">
        <w:rPr>
          <w:sz w:val="20"/>
        </w:rPr>
        <w:t>Ailstock</w:t>
      </w:r>
      <w:proofErr w:type="spellEnd"/>
      <w:r w:rsidRPr="00994FC3">
        <w:rPr>
          <w:sz w:val="20"/>
        </w:rPr>
        <w:t>.</w:t>
      </w:r>
      <w:proofErr w:type="gramEnd"/>
      <w:r w:rsidRPr="00994FC3">
        <w:rPr>
          <w:sz w:val="20"/>
        </w:rPr>
        <w:t xml:space="preserve"> 2006. </w:t>
      </w:r>
    </w:p>
    <w:p w:rsidR="00CF6B46" w:rsidRPr="00994FC3" w:rsidRDefault="00CF6B46" w:rsidP="00CF6B46">
      <w:pPr>
        <w:ind w:left="180"/>
        <w:jc w:val="left"/>
        <w:rPr>
          <w:sz w:val="20"/>
        </w:rPr>
      </w:pPr>
      <w:r w:rsidRPr="00994FC3">
        <w:rPr>
          <w:sz w:val="20"/>
        </w:rPr>
        <w:t xml:space="preserve">Antibacterial compounds in estuarine </w:t>
      </w:r>
    </w:p>
    <w:p w:rsidR="00CF6B46" w:rsidRDefault="00CF6B46" w:rsidP="00CF6B46">
      <w:pPr>
        <w:ind w:left="180"/>
        <w:jc w:val="left"/>
        <w:rPr>
          <w:sz w:val="20"/>
        </w:rPr>
      </w:pPr>
      <w:proofErr w:type="gramStart"/>
      <w:r w:rsidRPr="00994FC3">
        <w:rPr>
          <w:sz w:val="20"/>
        </w:rPr>
        <w:t>submersed</w:t>
      </w:r>
      <w:proofErr w:type="gramEnd"/>
      <w:r w:rsidRPr="00994FC3">
        <w:rPr>
          <w:sz w:val="20"/>
        </w:rPr>
        <w:t xml:space="preserve"> aquatic plants. </w:t>
      </w:r>
      <w:proofErr w:type="gramStart"/>
      <w:r w:rsidRPr="00994FC3">
        <w:rPr>
          <w:sz w:val="20"/>
        </w:rPr>
        <w:t>Journal of Experimental Marine Biology and Ecology.</w:t>
      </w:r>
      <w:proofErr w:type="gramEnd"/>
      <w:r w:rsidRPr="00994FC3">
        <w:rPr>
          <w:sz w:val="20"/>
        </w:rPr>
        <w:t xml:space="preserve"> </w:t>
      </w:r>
      <w:proofErr w:type="gramStart"/>
      <w:r w:rsidRPr="00994FC3">
        <w:rPr>
          <w:sz w:val="20"/>
        </w:rPr>
        <w:t>Vol. 331.</w:t>
      </w:r>
      <w:proofErr w:type="gramEnd"/>
      <w:r w:rsidRPr="00994FC3">
        <w:rPr>
          <w:sz w:val="20"/>
        </w:rPr>
        <w:t xml:space="preserve"> Pp 41-50.</w:t>
      </w:r>
    </w:p>
    <w:p w:rsidR="00CF6B46" w:rsidRDefault="00CF6B46" w:rsidP="00CF6B46">
      <w:pPr>
        <w:jc w:val="left"/>
        <w:rPr>
          <w:sz w:val="20"/>
        </w:rPr>
      </w:pPr>
      <w:proofErr w:type="gramStart"/>
      <w:r w:rsidRPr="00994FC3">
        <w:rPr>
          <w:sz w:val="20"/>
        </w:rPr>
        <w:t xml:space="preserve">Gleason, Henry A. and Arthur </w:t>
      </w:r>
      <w:proofErr w:type="spellStart"/>
      <w:r w:rsidRPr="00994FC3">
        <w:rPr>
          <w:sz w:val="20"/>
        </w:rPr>
        <w:t>Cronquist</w:t>
      </w:r>
      <w:proofErr w:type="spellEnd"/>
      <w:r w:rsidRPr="00994FC3">
        <w:rPr>
          <w:sz w:val="20"/>
        </w:rPr>
        <w:t>.</w:t>
      </w:r>
      <w:proofErr w:type="gramEnd"/>
      <w:r w:rsidRPr="00994FC3">
        <w:rPr>
          <w:sz w:val="20"/>
        </w:rPr>
        <w:t xml:space="preserve"> 1993. </w:t>
      </w:r>
    </w:p>
    <w:p w:rsidR="00CF6B46" w:rsidRPr="00994FC3" w:rsidRDefault="00CF6B46" w:rsidP="00CF6B46">
      <w:pPr>
        <w:ind w:left="180"/>
        <w:jc w:val="left"/>
        <w:rPr>
          <w:sz w:val="20"/>
        </w:rPr>
      </w:pPr>
      <w:r w:rsidRPr="00994FC3">
        <w:rPr>
          <w:sz w:val="20"/>
        </w:rPr>
        <w:t xml:space="preserve">Manual of Vascular Plants of Northeastern </w:t>
      </w:r>
    </w:p>
    <w:p w:rsidR="00CF6B46" w:rsidRDefault="00CF6B46" w:rsidP="00CF6B46">
      <w:pPr>
        <w:ind w:left="180"/>
        <w:jc w:val="left"/>
        <w:rPr>
          <w:sz w:val="20"/>
        </w:rPr>
      </w:pPr>
      <w:proofErr w:type="gramStart"/>
      <w:r w:rsidRPr="00994FC3">
        <w:rPr>
          <w:sz w:val="20"/>
        </w:rPr>
        <w:t>United States and Adjacent Canada.</w:t>
      </w:r>
      <w:proofErr w:type="gramEnd"/>
      <w:r w:rsidRPr="00994FC3">
        <w:rPr>
          <w:sz w:val="20"/>
        </w:rPr>
        <w:t xml:space="preserve"> </w:t>
      </w:r>
      <w:proofErr w:type="gramStart"/>
      <w:r w:rsidRPr="00994FC3">
        <w:rPr>
          <w:sz w:val="20"/>
        </w:rPr>
        <w:t>Second Edition.</w:t>
      </w:r>
      <w:proofErr w:type="gramEnd"/>
      <w:r w:rsidRPr="00994FC3">
        <w:rPr>
          <w:sz w:val="20"/>
        </w:rPr>
        <w:t xml:space="preserve"> </w:t>
      </w:r>
      <w:proofErr w:type="gramStart"/>
      <w:r w:rsidRPr="00994FC3">
        <w:rPr>
          <w:sz w:val="20"/>
        </w:rPr>
        <w:t>New York Botanical Garden.</w:t>
      </w:r>
      <w:proofErr w:type="gramEnd"/>
      <w:r w:rsidRPr="00994FC3">
        <w:rPr>
          <w:sz w:val="20"/>
        </w:rPr>
        <w:t xml:space="preserve"> </w:t>
      </w:r>
    </w:p>
    <w:p w:rsidR="00CF6B46" w:rsidRDefault="00CF6B46" w:rsidP="00CF6B46">
      <w:pPr>
        <w:jc w:val="left"/>
        <w:rPr>
          <w:sz w:val="20"/>
        </w:rPr>
      </w:pPr>
      <w:r w:rsidRPr="00994FC3">
        <w:rPr>
          <w:sz w:val="20"/>
        </w:rPr>
        <w:t xml:space="preserve">Hutchinson, Evelyn G. 1975. A Treatise on </w:t>
      </w:r>
    </w:p>
    <w:p w:rsidR="00CF6B46" w:rsidRDefault="00CF6B46" w:rsidP="00CF6B46">
      <w:pPr>
        <w:ind w:left="180"/>
        <w:jc w:val="left"/>
        <w:rPr>
          <w:sz w:val="20"/>
        </w:rPr>
      </w:pPr>
      <w:proofErr w:type="gramStart"/>
      <w:r w:rsidRPr="00994FC3">
        <w:rPr>
          <w:sz w:val="20"/>
        </w:rPr>
        <w:t>Limnology.</w:t>
      </w:r>
      <w:proofErr w:type="gramEnd"/>
      <w:r w:rsidRPr="00994FC3">
        <w:rPr>
          <w:sz w:val="20"/>
        </w:rPr>
        <w:t xml:space="preserve"> </w:t>
      </w:r>
      <w:proofErr w:type="gramStart"/>
      <w:r w:rsidRPr="00994FC3">
        <w:rPr>
          <w:sz w:val="20"/>
        </w:rPr>
        <w:t>Volume III.</w:t>
      </w:r>
      <w:proofErr w:type="gramEnd"/>
      <w:r w:rsidRPr="00994FC3">
        <w:rPr>
          <w:sz w:val="20"/>
        </w:rPr>
        <w:t xml:space="preserve"> </w:t>
      </w:r>
      <w:proofErr w:type="gramStart"/>
      <w:r w:rsidRPr="00994FC3">
        <w:rPr>
          <w:sz w:val="20"/>
        </w:rPr>
        <w:t>John Wiley and Sons.</w:t>
      </w:r>
      <w:proofErr w:type="gramEnd"/>
      <w:r w:rsidRPr="00994FC3">
        <w:rPr>
          <w:sz w:val="20"/>
        </w:rPr>
        <w:t xml:space="preserve"> New York, London, Sydney.</w:t>
      </w:r>
    </w:p>
    <w:p w:rsidR="00CF6B46" w:rsidRDefault="00CF6B46" w:rsidP="00CF6B46">
      <w:pPr>
        <w:jc w:val="left"/>
        <w:rPr>
          <w:sz w:val="20"/>
        </w:rPr>
      </w:pPr>
      <w:proofErr w:type="spellStart"/>
      <w:proofErr w:type="gramStart"/>
      <w:r w:rsidRPr="00994FC3">
        <w:rPr>
          <w:sz w:val="20"/>
        </w:rPr>
        <w:t>Kenow</w:t>
      </w:r>
      <w:proofErr w:type="spellEnd"/>
      <w:r w:rsidRPr="00994FC3">
        <w:rPr>
          <w:sz w:val="20"/>
        </w:rPr>
        <w:t xml:space="preserve">, Kevin P. and Donald H. </w:t>
      </w:r>
      <w:proofErr w:type="spellStart"/>
      <w:r w:rsidRPr="00994FC3">
        <w:rPr>
          <w:sz w:val="20"/>
        </w:rPr>
        <w:t>Rusch</w:t>
      </w:r>
      <w:proofErr w:type="spellEnd"/>
      <w:r w:rsidRPr="00994FC3">
        <w:rPr>
          <w:sz w:val="20"/>
        </w:rPr>
        <w:t>.</w:t>
      </w:r>
      <w:proofErr w:type="gramEnd"/>
      <w:r w:rsidRPr="00994FC3">
        <w:rPr>
          <w:sz w:val="20"/>
        </w:rPr>
        <w:t xml:space="preserve"> 1996. Food </w:t>
      </w:r>
    </w:p>
    <w:p w:rsidR="00CF6B46" w:rsidRDefault="00CF6B46" w:rsidP="00CF6B46">
      <w:pPr>
        <w:ind w:left="180"/>
        <w:jc w:val="left"/>
        <w:rPr>
          <w:sz w:val="20"/>
        </w:rPr>
      </w:pPr>
      <w:proofErr w:type="gramStart"/>
      <w:r w:rsidRPr="00994FC3">
        <w:rPr>
          <w:sz w:val="20"/>
        </w:rPr>
        <w:t>Habits of Redheads at the Horicon Marsh, Wisconsin.</w:t>
      </w:r>
      <w:proofErr w:type="gramEnd"/>
      <w:r w:rsidRPr="00994FC3">
        <w:rPr>
          <w:sz w:val="20"/>
        </w:rPr>
        <w:t xml:space="preserve"> J. Field </w:t>
      </w:r>
      <w:proofErr w:type="spellStart"/>
      <w:r w:rsidRPr="00994FC3">
        <w:rPr>
          <w:sz w:val="20"/>
        </w:rPr>
        <w:t>Ornithol</w:t>
      </w:r>
      <w:proofErr w:type="spellEnd"/>
      <w:r w:rsidRPr="00994FC3">
        <w:rPr>
          <w:sz w:val="20"/>
        </w:rPr>
        <w:t xml:space="preserve">. </w:t>
      </w:r>
      <w:proofErr w:type="gramStart"/>
      <w:r w:rsidRPr="00994FC3">
        <w:rPr>
          <w:sz w:val="20"/>
        </w:rPr>
        <w:t>Vol. 67 Issue 4.</w:t>
      </w:r>
      <w:proofErr w:type="gramEnd"/>
      <w:r w:rsidRPr="00994FC3">
        <w:rPr>
          <w:sz w:val="20"/>
        </w:rPr>
        <w:t xml:space="preserve"> Pp. 649-659.  </w:t>
      </w:r>
    </w:p>
    <w:p w:rsidR="00CF6B46" w:rsidRDefault="00CF6B46" w:rsidP="00CF6B46">
      <w:pPr>
        <w:jc w:val="left"/>
        <w:rPr>
          <w:sz w:val="20"/>
        </w:rPr>
      </w:pPr>
      <w:proofErr w:type="gramStart"/>
      <w:r w:rsidRPr="00994FC3">
        <w:rPr>
          <w:sz w:val="20"/>
        </w:rPr>
        <w:t>Lubbers, L., W.R. Boynton, and W.M. Kemp.</w:t>
      </w:r>
      <w:proofErr w:type="gramEnd"/>
      <w:r w:rsidRPr="00994FC3">
        <w:rPr>
          <w:sz w:val="20"/>
        </w:rPr>
        <w:t xml:space="preserve"> 1990. </w:t>
      </w:r>
    </w:p>
    <w:p w:rsidR="00CF6B46" w:rsidRDefault="00CF6B46" w:rsidP="00CF6B46">
      <w:pPr>
        <w:ind w:left="180"/>
        <w:jc w:val="left"/>
        <w:rPr>
          <w:sz w:val="20"/>
        </w:rPr>
      </w:pPr>
      <w:proofErr w:type="gramStart"/>
      <w:r w:rsidRPr="00994FC3">
        <w:rPr>
          <w:sz w:val="20"/>
        </w:rPr>
        <w:t>Variations in structure of estuarine fish communities in relation to abundance of submersed vascular plants.</w:t>
      </w:r>
      <w:proofErr w:type="gramEnd"/>
      <w:r w:rsidRPr="00994FC3">
        <w:rPr>
          <w:sz w:val="20"/>
        </w:rPr>
        <w:t xml:space="preserve"> </w:t>
      </w:r>
      <w:proofErr w:type="gramStart"/>
      <w:r w:rsidRPr="00994FC3">
        <w:rPr>
          <w:sz w:val="20"/>
        </w:rPr>
        <w:t>Marine Ecology Progress Series.</w:t>
      </w:r>
      <w:proofErr w:type="gramEnd"/>
      <w:r w:rsidRPr="00994FC3">
        <w:rPr>
          <w:sz w:val="20"/>
        </w:rPr>
        <w:t xml:space="preserve"> </w:t>
      </w:r>
      <w:proofErr w:type="gramStart"/>
      <w:r w:rsidRPr="00994FC3">
        <w:rPr>
          <w:sz w:val="20"/>
        </w:rPr>
        <w:t>Vol. 65, No. 1.</w:t>
      </w:r>
      <w:proofErr w:type="gramEnd"/>
      <w:r w:rsidRPr="00994FC3">
        <w:rPr>
          <w:sz w:val="20"/>
        </w:rPr>
        <w:t xml:space="preserve"> Pp. 1-14.</w:t>
      </w:r>
    </w:p>
    <w:p w:rsidR="00CF6B46" w:rsidRDefault="00CF6B46" w:rsidP="00CF6B46">
      <w:pPr>
        <w:jc w:val="left"/>
        <w:rPr>
          <w:sz w:val="20"/>
        </w:rPr>
      </w:pPr>
      <w:proofErr w:type="gramStart"/>
      <w:r w:rsidRPr="00994FC3">
        <w:rPr>
          <w:sz w:val="20"/>
        </w:rPr>
        <w:lastRenderedPageBreak/>
        <w:t>STAC.</w:t>
      </w:r>
      <w:proofErr w:type="gramEnd"/>
      <w:r w:rsidRPr="00994FC3">
        <w:rPr>
          <w:sz w:val="20"/>
        </w:rPr>
        <w:t xml:space="preserve"> 2007. Submerged Aquatic Vegetation (SAV) </w:t>
      </w:r>
    </w:p>
    <w:p w:rsidR="00CF6B46" w:rsidRDefault="00CF6B46" w:rsidP="00CF6B46">
      <w:pPr>
        <w:ind w:left="180"/>
        <w:jc w:val="left"/>
        <w:rPr>
          <w:sz w:val="20"/>
        </w:rPr>
      </w:pPr>
      <w:r w:rsidRPr="00994FC3">
        <w:rPr>
          <w:sz w:val="20"/>
        </w:rPr>
        <w:t xml:space="preserve">Reproductive Ecology in the Chesapeake Bay: Evaluating the State of the Knowledge and Assessing Future Research Needs. Report of the STAC Workshop March 6-7, 2007. </w:t>
      </w:r>
      <w:proofErr w:type="gramStart"/>
      <w:r w:rsidRPr="00994FC3">
        <w:rPr>
          <w:sz w:val="20"/>
        </w:rPr>
        <w:t>STAC Publication 07-006.</w:t>
      </w:r>
      <w:proofErr w:type="gramEnd"/>
      <w:r w:rsidRPr="00994FC3">
        <w:rPr>
          <w:sz w:val="20"/>
        </w:rPr>
        <w:t xml:space="preserve"> </w:t>
      </w:r>
    </w:p>
    <w:p w:rsidR="00CF6B46" w:rsidRDefault="00CF6B46" w:rsidP="00CF6B46">
      <w:pPr>
        <w:jc w:val="left"/>
        <w:rPr>
          <w:sz w:val="20"/>
        </w:rPr>
      </w:pPr>
      <w:r w:rsidRPr="00994FC3">
        <w:rPr>
          <w:sz w:val="20"/>
        </w:rPr>
        <w:t xml:space="preserve">Stevenson, J. C. 1988. Comparative ecology of </w:t>
      </w:r>
    </w:p>
    <w:p w:rsidR="00CF6B46" w:rsidRPr="00994FC3" w:rsidRDefault="00CF6B46" w:rsidP="00CF6B46">
      <w:pPr>
        <w:ind w:left="180"/>
        <w:jc w:val="left"/>
        <w:rPr>
          <w:sz w:val="20"/>
        </w:rPr>
      </w:pPr>
      <w:proofErr w:type="gramStart"/>
      <w:r w:rsidRPr="00994FC3">
        <w:rPr>
          <w:sz w:val="20"/>
        </w:rPr>
        <w:t>submersed</w:t>
      </w:r>
      <w:proofErr w:type="gramEnd"/>
      <w:r w:rsidRPr="00994FC3">
        <w:rPr>
          <w:sz w:val="20"/>
        </w:rPr>
        <w:t xml:space="preserve"> grass beds in freshwater, estuarine, </w:t>
      </w:r>
    </w:p>
    <w:p w:rsidR="00CF6B46" w:rsidRDefault="00CF6B46" w:rsidP="00CF6B46">
      <w:pPr>
        <w:ind w:left="180"/>
        <w:jc w:val="left"/>
        <w:rPr>
          <w:sz w:val="20"/>
        </w:rPr>
      </w:pPr>
      <w:proofErr w:type="gramStart"/>
      <w:r w:rsidRPr="00994FC3">
        <w:rPr>
          <w:sz w:val="20"/>
        </w:rPr>
        <w:t>and</w:t>
      </w:r>
      <w:proofErr w:type="gramEnd"/>
      <w:r w:rsidRPr="00994FC3">
        <w:rPr>
          <w:sz w:val="20"/>
        </w:rPr>
        <w:t xml:space="preserve"> ma</w:t>
      </w:r>
      <w:r>
        <w:rPr>
          <w:sz w:val="20"/>
        </w:rPr>
        <w:t xml:space="preserve">rine environments. </w:t>
      </w:r>
      <w:proofErr w:type="spellStart"/>
      <w:proofErr w:type="gramStart"/>
      <w:r>
        <w:rPr>
          <w:sz w:val="20"/>
        </w:rPr>
        <w:t>Limnological</w:t>
      </w:r>
      <w:proofErr w:type="spellEnd"/>
      <w:r>
        <w:rPr>
          <w:sz w:val="20"/>
        </w:rPr>
        <w:t xml:space="preserve"> </w:t>
      </w:r>
      <w:r w:rsidRPr="00994FC3">
        <w:rPr>
          <w:sz w:val="20"/>
        </w:rPr>
        <w:t>Oceanography.</w:t>
      </w:r>
      <w:proofErr w:type="gramEnd"/>
      <w:r w:rsidRPr="00994FC3">
        <w:rPr>
          <w:sz w:val="20"/>
        </w:rPr>
        <w:t xml:space="preserve"> </w:t>
      </w:r>
      <w:proofErr w:type="gramStart"/>
      <w:r w:rsidRPr="00994FC3">
        <w:rPr>
          <w:sz w:val="20"/>
        </w:rPr>
        <w:t>Vol. 33, No. 4 part 2.</w:t>
      </w:r>
      <w:proofErr w:type="gramEnd"/>
      <w:r w:rsidRPr="00994FC3">
        <w:rPr>
          <w:sz w:val="20"/>
        </w:rPr>
        <w:t xml:space="preserve"> Pp 867-893.</w:t>
      </w:r>
    </w:p>
    <w:p w:rsidR="00CF6B46" w:rsidRDefault="00CF6B46" w:rsidP="00CF6B46">
      <w:pPr>
        <w:jc w:val="left"/>
        <w:rPr>
          <w:sz w:val="20"/>
        </w:rPr>
      </w:pPr>
      <w:proofErr w:type="gramStart"/>
      <w:r w:rsidRPr="00994FC3">
        <w:rPr>
          <w:sz w:val="20"/>
        </w:rPr>
        <w:t xml:space="preserve">Thayer, G.W., S.M Adams, and M.W. </w:t>
      </w:r>
      <w:proofErr w:type="spellStart"/>
      <w:r w:rsidRPr="00994FC3">
        <w:rPr>
          <w:sz w:val="20"/>
        </w:rPr>
        <w:t>LaCroix</w:t>
      </w:r>
      <w:proofErr w:type="spellEnd"/>
      <w:r w:rsidRPr="00994FC3">
        <w:rPr>
          <w:sz w:val="20"/>
        </w:rPr>
        <w:t>.</w:t>
      </w:r>
      <w:proofErr w:type="gramEnd"/>
      <w:r w:rsidRPr="00994FC3">
        <w:rPr>
          <w:sz w:val="20"/>
        </w:rPr>
        <w:t xml:space="preserve"> </w:t>
      </w:r>
    </w:p>
    <w:p w:rsidR="00CF6B46" w:rsidRDefault="00CF6B46" w:rsidP="00CF6B46">
      <w:pPr>
        <w:ind w:left="180"/>
        <w:jc w:val="left"/>
        <w:rPr>
          <w:sz w:val="20"/>
        </w:rPr>
      </w:pPr>
      <w:r w:rsidRPr="00994FC3">
        <w:rPr>
          <w:sz w:val="20"/>
        </w:rPr>
        <w:t xml:space="preserve">1975. Structural and functional aspects of a recently established </w:t>
      </w:r>
      <w:proofErr w:type="spellStart"/>
      <w:r w:rsidRPr="00994FC3">
        <w:rPr>
          <w:i/>
          <w:sz w:val="20"/>
        </w:rPr>
        <w:t>Zostera</w:t>
      </w:r>
      <w:proofErr w:type="spellEnd"/>
      <w:r w:rsidRPr="00994FC3">
        <w:rPr>
          <w:i/>
          <w:sz w:val="20"/>
        </w:rPr>
        <w:t xml:space="preserve"> marina</w:t>
      </w:r>
      <w:r w:rsidRPr="00994FC3">
        <w:rPr>
          <w:sz w:val="20"/>
        </w:rPr>
        <w:t xml:space="preserve"> community, p. 518-540. </w:t>
      </w:r>
      <w:proofErr w:type="gramStart"/>
      <w:r w:rsidRPr="00994FC3">
        <w:rPr>
          <w:i/>
          <w:sz w:val="20"/>
        </w:rPr>
        <w:t>In</w:t>
      </w:r>
      <w:r w:rsidRPr="00994FC3">
        <w:rPr>
          <w:sz w:val="20"/>
        </w:rPr>
        <w:t xml:space="preserve"> L.E. Cronin (ed.), Estuarine Research.</w:t>
      </w:r>
      <w:proofErr w:type="gramEnd"/>
      <w:r w:rsidRPr="00994FC3">
        <w:rPr>
          <w:sz w:val="20"/>
        </w:rPr>
        <w:t xml:space="preserve"> </w:t>
      </w:r>
      <w:proofErr w:type="gramStart"/>
      <w:r w:rsidRPr="00994FC3">
        <w:rPr>
          <w:sz w:val="20"/>
        </w:rPr>
        <w:t>Academic, New York.</w:t>
      </w:r>
      <w:proofErr w:type="gramEnd"/>
    </w:p>
    <w:p w:rsidR="00CF6B46" w:rsidRDefault="00CF6B46" w:rsidP="00CF6B46">
      <w:pPr>
        <w:jc w:val="left"/>
        <w:rPr>
          <w:sz w:val="20"/>
        </w:rPr>
      </w:pPr>
      <w:proofErr w:type="spellStart"/>
      <w:r w:rsidRPr="00994FC3">
        <w:rPr>
          <w:sz w:val="20"/>
        </w:rPr>
        <w:t>Zinecker</w:t>
      </w:r>
      <w:proofErr w:type="spellEnd"/>
      <w:r w:rsidRPr="00994FC3">
        <w:rPr>
          <w:sz w:val="20"/>
        </w:rPr>
        <w:t xml:space="preserve">, E., S. Hunter, P. </w:t>
      </w:r>
      <w:proofErr w:type="spellStart"/>
      <w:r w:rsidRPr="00994FC3">
        <w:rPr>
          <w:sz w:val="20"/>
        </w:rPr>
        <w:t>Kangas</w:t>
      </w:r>
      <w:proofErr w:type="spellEnd"/>
      <w:r w:rsidRPr="00994FC3">
        <w:rPr>
          <w:sz w:val="20"/>
        </w:rPr>
        <w:t xml:space="preserve">, J. Englert. 2007. </w:t>
      </w:r>
    </w:p>
    <w:p w:rsidR="00CF6B46" w:rsidRPr="00994FC3" w:rsidRDefault="00CF6B46" w:rsidP="00CF6B46">
      <w:pPr>
        <w:ind w:left="180"/>
        <w:jc w:val="left"/>
        <w:rPr>
          <w:sz w:val="20"/>
        </w:rPr>
      </w:pPr>
      <w:proofErr w:type="gramStart"/>
      <w:r w:rsidRPr="00994FC3">
        <w:rPr>
          <w:sz w:val="20"/>
        </w:rPr>
        <w:t xml:space="preserve">Growth of </w:t>
      </w:r>
      <w:proofErr w:type="spellStart"/>
      <w:r w:rsidRPr="00994FC3">
        <w:rPr>
          <w:i/>
          <w:sz w:val="20"/>
        </w:rPr>
        <w:t>Potamogeton</w:t>
      </w:r>
      <w:proofErr w:type="spellEnd"/>
      <w:r w:rsidRPr="00994FC3">
        <w:rPr>
          <w:i/>
          <w:sz w:val="20"/>
        </w:rPr>
        <w:t xml:space="preserve"> </w:t>
      </w:r>
      <w:proofErr w:type="spellStart"/>
      <w:r w:rsidRPr="00994FC3">
        <w:rPr>
          <w:i/>
          <w:sz w:val="20"/>
        </w:rPr>
        <w:t>perfoliatus</w:t>
      </w:r>
      <w:proofErr w:type="spellEnd"/>
      <w:r w:rsidRPr="00994FC3">
        <w:rPr>
          <w:sz w:val="20"/>
        </w:rPr>
        <w:t xml:space="preserve"> (L.) on different substrates</w:t>
      </w:r>
      <w:r>
        <w:rPr>
          <w:sz w:val="20"/>
        </w:rPr>
        <w:t>.</w:t>
      </w:r>
      <w:proofErr w:type="gramEnd"/>
      <w:r>
        <w:rPr>
          <w:sz w:val="20"/>
        </w:rPr>
        <w:t xml:space="preserve"> </w:t>
      </w:r>
      <w:proofErr w:type="gramStart"/>
      <w:r>
        <w:rPr>
          <w:sz w:val="20"/>
        </w:rPr>
        <w:t xml:space="preserve">Conference Presentation, ERF, </w:t>
      </w:r>
      <w:r w:rsidRPr="00994FC3">
        <w:rPr>
          <w:sz w:val="20"/>
        </w:rPr>
        <w:t>Providence, RI.</w:t>
      </w:r>
      <w:proofErr w:type="gramEnd"/>
      <w:r w:rsidRPr="00994FC3">
        <w:rPr>
          <w:sz w:val="20"/>
        </w:rPr>
        <w:t xml:space="preserve"> November 2007.</w:t>
      </w:r>
    </w:p>
    <w:p w:rsidR="00CF6B46" w:rsidRDefault="00CF6B46" w:rsidP="00DE7F41">
      <w:pPr>
        <w:pStyle w:val="NRCSBodyText"/>
        <w:rPr>
          <w:b/>
        </w:rPr>
      </w:pPr>
    </w:p>
    <w:p w:rsidR="00DE7F41" w:rsidRDefault="00DD41E3" w:rsidP="00DE7F41">
      <w:pPr>
        <w:pStyle w:val="NRCSBodyText"/>
      </w:pPr>
      <w:r w:rsidRPr="00A90532">
        <w:rPr>
          <w:b/>
        </w:rPr>
        <w:t>Prepared By</w:t>
      </w:r>
      <w:r w:rsidR="00CF6B46">
        <w:t>:</w:t>
      </w:r>
    </w:p>
    <w:p w:rsidR="00394E18" w:rsidRPr="00AB1D3C" w:rsidRDefault="00AB1D3C" w:rsidP="00DE7F41">
      <w:pPr>
        <w:pStyle w:val="NRCSBodyText"/>
      </w:pPr>
      <w:r>
        <w:rPr>
          <w:i/>
        </w:rPr>
        <w:t xml:space="preserve">Elizabeth </w:t>
      </w:r>
      <w:proofErr w:type="spellStart"/>
      <w:r>
        <w:rPr>
          <w:i/>
        </w:rPr>
        <w:t>Zinecker</w:t>
      </w:r>
      <w:proofErr w:type="spellEnd"/>
      <w:r w:rsidRPr="00AB1D3C">
        <w:t xml:space="preserve">, PhD </w:t>
      </w:r>
      <w:proofErr w:type="spellStart"/>
      <w:r w:rsidRPr="00AB1D3C">
        <w:t>candiadate</w:t>
      </w:r>
      <w:proofErr w:type="spellEnd"/>
      <w:r w:rsidRPr="00AB1D3C">
        <w:t>, University of Maryland</w:t>
      </w:r>
    </w:p>
    <w:p w:rsidR="00AB1D3C" w:rsidRDefault="00AB1D3C" w:rsidP="00DE7F41">
      <w:pPr>
        <w:pStyle w:val="NRCSBodyText"/>
        <w:rPr>
          <w:i/>
        </w:rPr>
      </w:pPr>
    </w:p>
    <w:p w:rsidR="00AB1D3C" w:rsidRPr="00AB1D3C" w:rsidRDefault="00AB1D3C" w:rsidP="00DE7F41">
      <w:pPr>
        <w:pStyle w:val="NRCSBodyText"/>
      </w:pPr>
      <w:r>
        <w:rPr>
          <w:i/>
        </w:rPr>
        <w:t>Jeremy West</w:t>
      </w:r>
      <w:r w:rsidRPr="00AB1D3C">
        <w:t xml:space="preserve">, </w:t>
      </w:r>
      <w:r>
        <w:t>M</w:t>
      </w:r>
      <w:r w:rsidRPr="00AB1D3C">
        <w:t>anager, Norman A. Berg National Plant Materials Center</w:t>
      </w:r>
    </w:p>
    <w:p w:rsidR="00F26813" w:rsidRPr="00A90532" w:rsidRDefault="00F26813" w:rsidP="00721B7E">
      <w:pPr>
        <w:pStyle w:val="Heading3"/>
        <w:rPr>
          <w:i/>
          <w:iCs/>
        </w:rPr>
      </w:pPr>
      <w:r w:rsidRPr="00A90532">
        <w:t>Citation</w:t>
      </w:r>
    </w:p>
    <w:p w:rsidR="00CF6B46" w:rsidRPr="00273A5B" w:rsidRDefault="00CF6B46" w:rsidP="00CF6B46">
      <w:pPr>
        <w:jc w:val="left"/>
        <w:rPr>
          <w:sz w:val="20"/>
        </w:rPr>
      </w:pPr>
      <w:proofErr w:type="gramStart"/>
      <w:r>
        <w:rPr>
          <w:sz w:val="20"/>
        </w:rPr>
        <w:t>Zinecker, E and J. West</w:t>
      </w:r>
      <w:r w:rsidRPr="00273A5B">
        <w:rPr>
          <w:sz w:val="20"/>
        </w:rPr>
        <w:t>.</w:t>
      </w:r>
      <w:proofErr w:type="gramEnd"/>
      <w:r w:rsidRPr="00273A5B">
        <w:rPr>
          <w:sz w:val="20"/>
        </w:rPr>
        <w:t xml:space="preserve">  </w:t>
      </w:r>
      <w:r>
        <w:rPr>
          <w:sz w:val="20"/>
        </w:rPr>
        <w:t xml:space="preserve">2010.  </w:t>
      </w:r>
      <w:r w:rsidRPr="00273A5B">
        <w:rPr>
          <w:sz w:val="20"/>
        </w:rPr>
        <w:t xml:space="preserve">Plant guide for </w:t>
      </w:r>
      <w:proofErr w:type="spellStart"/>
      <w:r w:rsidRPr="00273A5B">
        <w:rPr>
          <w:sz w:val="20"/>
        </w:rPr>
        <w:t>claspingleaf</w:t>
      </w:r>
      <w:proofErr w:type="spellEnd"/>
      <w:r w:rsidRPr="00273A5B">
        <w:rPr>
          <w:sz w:val="20"/>
        </w:rPr>
        <w:t xml:space="preserve"> pondweed (</w:t>
      </w:r>
      <w:proofErr w:type="spellStart"/>
      <w:r w:rsidRPr="009D32DA">
        <w:rPr>
          <w:i/>
          <w:sz w:val="20"/>
        </w:rPr>
        <w:t>Potamogaton</w:t>
      </w:r>
      <w:proofErr w:type="spellEnd"/>
      <w:r w:rsidRPr="009D32DA">
        <w:rPr>
          <w:i/>
          <w:sz w:val="20"/>
        </w:rPr>
        <w:t xml:space="preserve"> </w:t>
      </w:r>
      <w:proofErr w:type="spellStart"/>
      <w:r w:rsidRPr="009D32DA">
        <w:rPr>
          <w:i/>
          <w:sz w:val="20"/>
        </w:rPr>
        <w:t>perfoliatus</w:t>
      </w:r>
      <w:proofErr w:type="spellEnd"/>
      <w:r>
        <w:rPr>
          <w:sz w:val="20"/>
        </w:rPr>
        <w:t xml:space="preserve"> L.).  </w:t>
      </w:r>
      <w:proofErr w:type="gramStart"/>
      <w:r>
        <w:rPr>
          <w:sz w:val="20"/>
        </w:rPr>
        <w:t>USDA-Natural Resources Conservation Service, National Plant Materials Center.</w:t>
      </w:r>
      <w:proofErr w:type="gramEnd"/>
      <w:r>
        <w:rPr>
          <w:sz w:val="20"/>
        </w:rPr>
        <w:t xml:space="preserve">  </w:t>
      </w:r>
      <w:proofErr w:type="spellStart"/>
      <w:r>
        <w:rPr>
          <w:sz w:val="20"/>
        </w:rPr>
        <w:t>Beltsville</w:t>
      </w:r>
      <w:proofErr w:type="gramStart"/>
      <w:r>
        <w:rPr>
          <w:sz w:val="20"/>
        </w:rPr>
        <w:t>,MD</w:t>
      </w:r>
      <w:proofErr w:type="spellEnd"/>
      <w:proofErr w:type="gramEnd"/>
      <w:r>
        <w:rPr>
          <w:sz w:val="20"/>
        </w:rPr>
        <w:t xml:space="preserve">  20705.</w:t>
      </w:r>
    </w:p>
    <w:p w:rsidR="000E3166" w:rsidRPr="00705B62" w:rsidRDefault="000E3166" w:rsidP="000E3166">
      <w:pPr>
        <w:pStyle w:val="NRCSBodyText"/>
        <w:spacing w:before="240"/>
        <w:rPr>
          <w:i/>
        </w:rPr>
      </w:pPr>
      <w:r w:rsidRPr="000E3166">
        <w:t>Published</w:t>
      </w:r>
      <w:r w:rsidR="00394E18">
        <w:t xml:space="preserve"> January, 2011</w:t>
      </w:r>
    </w:p>
    <w:p w:rsidR="00CD49CC" w:rsidRDefault="002375B8" w:rsidP="00DE7F41">
      <w:pPr>
        <w:pStyle w:val="BodytextNRCS"/>
        <w:spacing w:before="120"/>
      </w:pPr>
      <w:r w:rsidRPr="000E3166">
        <w:t xml:space="preserve">Edited: </w:t>
      </w:r>
      <w:r w:rsidR="00CF6B46">
        <w:t>1SEPTEMBER2010</w:t>
      </w:r>
      <w:r w:rsidR="00394E18">
        <w:t>JW</w:t>
      </w:r>
    </w:p>
    <w:p w:rsidR="00CF6B46" w:rsidRDefault="00CF6B46" w:rsidP="00DE7F41">
      <w:pPr>
        <w:pStyle w:val="BodytextNRCS"/>
        <w:spacing w:before="120"/>
      </w:pPr>
    </w:p>
    <w:p w:rsidR="00CF6B46" w:rsidRDefault="00CF6B46" w:rsidP="00CF6B46">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3" w:history="1">
        <w:r w:rsidRPr="000171EC">
          <w:rPr>
            <w:rStyle w:val="Hyperlink"/>
            <w:szCs w:val="16"/>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4" w:tooltip="Plants Web site" w:history="1">
        <w:r w:rsidRPr="004F78CE">
          <w:rPr>
            <w:rStyle w:val="Hyperlink"/>
          </w:rPr>
          <w:t>http://plants.usda.gov</w:t>
        </w:r>
      </w:hyperlink>
      <w:r w:rsidRPr="00C36DFB">
        <w:rPr>
          <w:rStyle w:val="Footer1Char"/>
          <w:color w:val="auto"/>
        </w:rPr>
        <w:t>&gt; or the Plant Materials Program Web site &lt;</w:t>
      </w:r>
      <w:hyperlink r:id="rId15" w:tooltip="Plant Materials Program Web site" w:history="1">
        <w:r w:rsidRPr="004F78CE">
          <w:rPr>
            <w:rStyle w:val="Hyperlink"/>
          </w:rPr>
          <w:t>http://Plant-Materials.nrcs.usda.gov</w:t>
        </w:r>
      </w:hyperlink>
      <w:r w:rsidRPr="00C36DFB">
        <w:rPr>
          <w:rStyle w:val="Footer1Char"/>
          <w:color w:val="auto"/>
        </w:rPr>
        <w:t>&gt;</w:t>
      </w:r>
    </w:p>
    <w:p w:rsidR="00CF6B46" w:rsidRDefault="00CF6B46" w:rsidP="00DE7F41">
      <w:pPr>
        <w:pStyle w:val="BodytextNRCS"/>
        <w:spacing w:before="120"/>
      </w:pPr>
    </w:p>
    <w:p w:rsidR="00CF6B46" w:rsidRDefault="00CF6B46" w:rsidP="00DE7F41">
      <w:pPr>
        <w:pStyle w:val="BodytextNRCS"/>
        <w:spacing w:before="120"/>
      </w:pPr>
    </w:p>
    <w:p w:rsidR="00CF6B46" w:rsidRDefault="00CF6B46" w:rsidP="00DE7F41">
      <w:pPr>
        <w:pStyle w:val="BodytextNRCS"/>
        <w:spacing w:before="120"/>
      </w:pPr>
    </w:p>
    <w:p w:rsidR="00CF6B46" w:rsidRDefault="00CF6B46" w:rsidP="00DE7F41">
      <w:pPr>
        <w:pStyle w:val="BodytextNRCS"/>
        <w:spacing w:before="120"/>
      </w:pPr>
    </w:p>
    <w:p w:rsidR="00AB1D3C" w:rsidRDefault="00AB1D3C" w:rsidP="00DE7F41">
      <w:pPr>
        <w:pStyle w:val="BodytextNRCS"/>
        <w:spacing w:before="120"/>
      </w:pPr>
    </w:p>
    <w:p w:rsidR="00AB1D3C" w:rsidRDefault="00AB1D3C" w:rsidP="00DE7F41">
      <w:pPr>
        <w:pStyle w:val="BodytextNRCS"/>
        <w:spacing w:before="120"/>
      </w:pPr>
    </w:p>
    <w:p w:rsidR="00AB1D3C" w:rsidRDefault="00AB1D3C" w:rsidP="00DE7F41">
      <w:pPr>
        <w:pStyle w:val="BodytextNRCS"/>
        <w:spacing w:before="120"/>
      </w:pPr>
    </w:p>
    <w:p w:rsidR="00AB1D3C" w:rsidRDefault="00AB1D3C" w:rsidP="00DE7F41">
      <w:pPr>
        <w:pStyle w:val="BodytextNRCS"/>
        <w:spacing w:before="120"/>
      </w:pPr>
    </w:p>
    <w:p w:rsidR="00CF6B46" w:rsidRDefault="00CF6B46" w:rsidP="00DE7F41">
      <w:pPr>
        <w:pStyle w:val="BodytextNRCS"/>
        <w:spacing w:before="120"/>
      </w:pPr>
    </w:p>
    <w:p w:rsidR="00CF6B46" w:rsidRPr="000E3166" w:rsidRDefault="00CF6B46" w:rsidP="00DE7F41">
      <w:pPr>
        <w:pStyle w:val="BodytextNRCS"/>
        <w:spacing w:before="120"/>
      </w:pP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35F" w:rsidRDefault="00E4335F">
      <w:r>
        <w:separator/>
      </w:r>
    </w:p>
  </w:endnote>
  <w:endnote w:type="continuationSeparator" w:id="0">
    <w:p w:rsidR="00E4335F" w:rsidRDefault="00E433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35F" w:rsidRDefault="00E4335F">
      <w:r>
        <w:separator/>
      </w:r>
    </w:p>
  </w:footnote>
  <w:footnote w:type="continuationSeparator" w:id="0">
    <w:p w:rsidR="00E4335F" w:rsidRDefault="00E433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584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6671C"/>
    <w:rsid w:val="00007042"/>
    <w:rsid w:val="000171EC"/>
    <w:rsid w:val="00024DE6"/>
    <w:rsid w:val="00034B57"/>
    <w:rsid w:val="00044CEF"/>
    <w:rsid w:val="000578C2"/>
    <w:rsid w:val="000607FF"/>
    <w:rsid w:val="00061FD0"/>
    <w:rsid w:val="00076424"/>
    <w:rsid w:val="000867C9"/>
    <w:rsid w:val="00095E67"/>
    <w:rsid w:val="00097AB0"/>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4E18"/>
    <w:rsid w:val="00395D33"/>
    <w:rsid w:val="003A5407"/>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065D5"/>
    <w:rsid w:val="0081582F"/>
    <w:rsid w:val="008175C8"/>
    <w:rsid w:val="00830F95"/>
    <w:rsid w:val="008517EF"/>
    <w:rsid w:val="0086671C"/>
    <w:rsid w:val="00877873"/>
    <w:rsid w:val="0089154B"/>
    <w:rsid w:val="008A4BFE"/>
    <w:rsid w:val="008A56D6"/>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1D3C"/>
    <w:rsid w:val="00AB23B1"/>
    <w:rsid w:val="00AC201A"/>
    <w:rsid w:val="00AC2D89"/>
    <w:rsid w:val="00AC367C"/>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6B46"/>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4335F"/>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86671C"/>
    <w:pPr>
      <w:spacing w:after="200"/>
    </w:pPr>
    <w:rPr>
      <w:b/>
      <w:bCs/>
      <w:color w:val="4F81BD" w:themeColor="accent1"/>
      <w:sz w:val="18"/>
      <w:szCs w:val="18"/>
    </w:rPr>
  </w:style>
  <w:style w:type="paragraph" w:customStyle="1" w:styleId="Bodytext0">
    <w:name w:val="Body text"/>
    <w:basedOn w:val="BodyText"/>
    <w:link w:val="BodytextChar0"/>
    <w:rsid w:val="0086671C"/>
    <w:pPr>
      <w:tabs>
        <w:tab w:val="left" w:pos="2430"/>
      </w:tabs>
      <w:jc w:val="left"/>
    </w:pPr>
    <w:rPr>
      <w:color w:val="auto"/>
      <w:sz w:val="20"/>
    </w:rPr>
  </w:style>
  <w:style w:type="character" w:customStyle="1" w:styleId="BodytextChar0">
    <w:name w:val="Body text Char"/>
    <w:basedOn w:val="BodyTextChar"/>
    <w:link w:val="Bodytext0"/>
    <w:rsid w:val="0086671C"/>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remy.west\Desktop\PG%20and%20F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4C4FEEE2-FA92-406D-9CE1-25F69D64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28</TotalTime>
  <Pages>4</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claspingleaf pondweed (Potamogeton perfoliatus L.) Plant Guide</vt:lpstr>
    </vt:vector>
  </TitlesOfParts>
  <Company>USDA NRCS National Plant Materials Center</Company>
  <LinksUpToDate>false</LinksUpToDate>
  <CharactersWithSpaces>14408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claspingleaf pondweed (Potamogeton perfoliatus L.) Plant Guide</dc:title>
  <dc:subject>claspingleaf pondweed (Potamogeton perfoliatus L.) Plant Guide</dc:subject>
  <dc:creator>Norman A. Berg National Plant Materials Center</dc:creator>
  <cp:keywords>Zinecker, E and J. West. 2010. Plant guide for claspingleaf pondweed (Potamogaton perfoliatus L.). USDA-Natural Resources Conservation Service, claspingleaf pondweed, redhead grass, clasping-leaved pondweed, Potamogeton, Potamogeton perfoliatus, aquatic, grass beds, sav, submerged aquatic vegetation, stabilize sediments, shoreline erosion, restoration, Chesapeake Bay</cp:keywords>
  <cp:lastModifiedBy>Julie DePue</cp:lastModifiedBy>
  <cp:revision>3</cp:revision>
  <cp:lastPrinted>2010-08-20T19:27:00Z</cp:lastPrinted>
  <dcterms:created xsi:type="dcterms:W3CDTF">2011-01-19T20:41:00Z</dcterms:created>
  <dcterms:modified xsi:type="dcterms:W3CDTF">2011-06-16T12:40:00Z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