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3C2949" w:rsidP="000578C2">
            <w:pPr>
              <w:pStyle w:val="TitleHeader"/>
              <w:rPr>
                <w:i/>
              </w:rPr>
            </w:pPr>
            <w:smartTag w:uri="urn:schemas-microsoft-com:office:smarttags" w:element="State">
              <w:smartTag w:uri="urn:schemas-microsoft-com:office:smarttags" w:element="place">
                <w:r>
                  <w:lastRenderedPageBreak/>
                  <w:t>Oregon</w:t>
                </w:r>
              </w:smartTag>
            </w:smartTag>
            <w:r>
              <w:t xml:space="preserve"> oak</w:t>
            </w:r>
          </w:p>
        </w:tc>
      </w:tr>
      <w:tr w:rsidR="00CD49CC">
        <w:tblPrEx>
          <w:tblCellMar>
            <w:top w:w="0" w:type="dxa"/>
            <w:bottom w:w="0" w:type="dxa"/>
          </w:tblCellMar>
        </w:tblPrEx>
        <w:tc>
          <w:tcPr>
            <w:tcW w:w="4410" w:type="dxa"/>
          </w:tcPr>
          <w:p w:rsidR="00CD49CC" w:rsidRPr="00C95C6F" w:rsidRDefault="003C2949" w:rsidP="008F6154">
            <w:pPr>
              <w:pStyle w:val="Titlesubheader1"/>
            </w:pPr>
            <w:r>
              <w:rPr>
                <w:i/>
              </w:rPr>
              <w:t>Quercus garryana</w:t>
            </w:r>
            <w:r w:rsidR="000F1970" w:rsidRPr="008F3D5A">
              <w:t xml:space="preserve"> </w:t>
            </w:r>
            <w:r>
              <w:t>Dougl. ex Hook.</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3C2949">
              <w:t>QUGA4</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3C2949">
          <w:t>Santa Barbara</w:t>
        </w:r>
      </w:smartTag>
      <w:r w:rsidR="003C2949">
        <w:t xml:space="preserve"> </w:t>
      </w:r>
      <w:smartTag w:uri="urn:schemas-microsoft-com:office:smarttags" w:element="PlaceType">
        <w:r w:rsidR="003C2949">
          <w:t>Botanic Garden</w:t>
        </w:r>
      </w:smartTag>
      <w:r w:rsidR="003C2949">
        <w:t xml:space="preserve"> and </w:t>
      </w:r>
      <w:smartTag w:uri="urn:schemas-microsoft-com:office:smarttags" w:element="place">
        <w:smartTag w:uri="urn:schemas-microsoft-com:office:smarttags" w:element="PlaceName">
          <w:r w:rsidR="003C2949">
            <w:t>USDA</w:t>
          </w:r>
        </w:smartTag>
        <w:r w:rsidR="003C2949">
          <w:t xml:space="preserve"> </w:t>
        </w:r>
        <w:smartTag w:uri="urn:schemas-microsoft-com:office:smarttags" w:element="PlaceName">
          <w:r w:rsidR="003C2949">
            <w:t>NRCS</w:t>
          </w:r>
        </w:smartTag>
        <w:r w:rsidR="003C2949">
          <w:t xml:space="preserve"> </w:t>
        </w:r>
        <w:smartTag w:uri="urn:schemas-microsoft-com:office:smarttags" w:element="PlaceName">
          <w:r w:rsidR="003C2949">
            <w:t>National</w:t>
          </w:r>
        </w:smartTag>
        <w:r w:rsidR="003C2949">
          <w:t xml:space="preserve"> </w:t>
        </w:r>
        <w:smartTag w:uri="urn:schemas-microsoft-com:office:smarttags" w:element="PlaceName">
          <w:r w:rsidR="003C2949">
            <w:t>Plant</w:t>
          </w:r>
        </w:smartTag>
        <w:r w:rsidR="003C2949">
          <w:t xml:space="preserve"> </w:t>
        </w:r>
        <w:smartTag w:uri="urn:schemas-microsoft-com:office:smarttags" w:element="PlaceName">
          <w:r w:rsidR="003C2949">
            <w:t>Data</w:t>
          </w:r>
        </w:smartTag>
        <w:r w:rsidR="003C2949">
          <w:t xml:space="preserve"> </w:t>
        </w:r>
        <w:smartTag w:uri="urn:schemas-microsoft-com:office:smarttags" w:element="PlaceType">
          <w:r w:rsidR="003C2949">
            <w:t>Center</w:t>
          </w:r>
        </w:smartTag>
      </w:smartTag>
    </w:p>
    <w:p w:rsidR="00D53A51" w:rsidRDefault="00F706AB" w:rsidP="004911C7">
      <w:pPr>
        <w:pStyle w:val="Heading3"/>
        <w:ind w:left="0" w:right="0"/>
        <w:jc w:val="left"/>
        <w:rPr>
          <w:color w:val="auto"/>
        </w:rPr>
      </w:pPr>
      <w:r w:rsidRPr="00F706AB">
        <w:rPr>
          <w:noProof/>
          <w:color w:val="auto"/>
        </w:rPr>
        <w:pict>
          <v:shapetype id="_x0000_t202" coordsize="21600,21600" o:spt="202" path="m,l,21600r21600,l21600,xe">
            <v:stroke joinstyle="miter"/>
            <v:path gradientshapeok="t" o:connecttype="rect"/>
          </v:shapetype>
          <v:shape id="_x0000_s1064" type="#_x0000_t202" style="position:absolute;margin-left:22.05pt;margin-top:7.25pt;width:165.6pt;height:254.9pt;z-index:251657216" stroked="f">
            <v:textbox>
              <w:txbxContent>
                <w:p w:rsidR="00F706AB" w:rsidRDefault="00B25E9C" w:rsidP="00F706AB">
                  <w:r>
                    <w:rPr>
                      <w:noProof/>
                    </w:rPr>
                    <w:drawing>
                      <wp:inline distT="0" distB="0" distL="0" distR="0">
                        <wp:extent cx="1857375" cy="2771775"/>
                        <wp:effectExtent l="19050" t="0" r="9525" b="0"/>
                        <wp:docPr id="2" name="Picture 2" descr="Image of Oregon oak (Quercus garry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Oregon oak (Quercus garryana)"/>
                                <pic:cNvPicPr>
                                  <a:picLocks noChangeAspect="1" noChangeArrowheads="1"/>
                                </pic:cNvPicPr>
                              </pic:nvPicPr>
                              <pic:blipFill>
                                <a:blip r:embed="rId8"/>
                                <a:srcRect/>
                                <a:stretch>
                                  <a:fillRect/>
                                </a:stretch>
                              </pic:blipFill>
                              <pic:spPr bwMode="auto">
                                <a:xfrm>
                                  <a:off x="0" y="0"/>
                                  <a:ext cx="1857375" cy="2771775"/>
                                </a:xfrm>
                                <a:prstGeom prst="rect">
                                  <a:avLst/>
                                </a:prstGeom>
                                <a:noFill/>
                                <a:ln w="9525">
                                  <a:noFill/>
                                  <a:miter lim="800000"/>
                                  <a:headEnd/>
                                  <a:tailEnd/>
                                </a:ln>
                              </pic:spPr>
                            </pic:pic>
                          </a:graphicData>
                        </a:graphic>
                      </wp:inline>
                    </w:drawing>
                  </w:r>
                </w:p>
                <w:p w:rsidR="00F706AB" w:rsidRDefault="00F706AB" w:rsidP="00F706AB">
                  <w:pPr>
                    <w:jc w:val="right"/>
                    <w:rPr>
                      <w:sz w:val="14"/>
                    </w:rPr>
                  </w:pPr>
                  <w:r>
                    <w:rPr>
                      <w:sz w:val="14"/>
                    </w:rPr>
                    <w:t>Brother Alfred Brousseau</w:t>
                  </w:r>
                </w:p>
                <w:p w:rsidR="00F706AB" w:rsidRDefault="00F706AB" w:rsidP="00F706AB">
                  <w:pPr>
                    <w:jc w:val="right"/>
                    <w:rPr>
                      <w:sz w:val="14"/>
                    </w:rPr>
                  </w:pPr>
                  <w:r>
                    <w:rPr>
                      <w:sz w:val="14"/>
                    </w:rPr>
                    <w:sym w:font="Symbol" w:char="F0D3"/>
                  </w:r>
                  <w:r>
                    <w:rPr>
                      <w:sz w:val="14"/>
                    </w:rPr>
                    <w:t xml:space="preserve"> Brother Eric Vogel, St. Mary’s College</w:t>
                  </w:r>
                </w:p>
                <w:p w:rsidR="00F706AB" w:rsidRDefault="00F706AB" w:rsidP="00F706AB">
                  <w:pPr>
                    <w:jc w:val="right"/>
                    <w:rPr>
                      <w:sz w:val="14"/>
                    </w:rPr>
                  </w:pPr>
                  <w:r>
                    <w:rPr>
                      <w:sz w:val="14"/>
                    </w:rPr>
                    <w:t>@ CalPhotos</w:t>
                  </w:r>
                </w:p>
              </w:txbxContent>
            </v:textbox>
            <w10:wrap type="topAndBottom"/>
          </v:shape>
        </w:pict>
      </w:r>
    </w:p>
    <w:p w:rsidR="00F706AB" w:rsidRPr="00F706AB" w:rsidRDefault="00F706AB" w:rsidP="00F706AB">
      <w:pPr>
        <w:pStyle w:val="Heading1"/>
        <w:jc w:val="left"/>
      </w:pPr>
      <w:r w:rsidRPr="00F706AB">
        <w:t>Alternate Names</w:t>
      </w:r>
    </w:p>
    <w:p w:rsidR="00F706AB" w:rsidRPr="00F706AB" w:rsidRDefault="00F706AB" w:rsidP="00F706AB">
      <w:pPr>
        <w:jc w:val="left"/>
        <w:rPr>
          <w:sz w:val="20"/>
        </w:rPr>
      </w:pPr>
      <w:smartTag w:uri="urn:schemas-microsoft-com:office:smarttags" w:element="State">
        <w:smartTag w:uri="urn:schemas-microsoft-com:office:smarttags" w:element="place">
          <w:r w:rsidRPr="00F706AB">
            <w:rPr>
              <w:sz w:val="20"/>
            </w:rPr>
            <w:t>Oregon</w:t>
          </w:r>
        </w:smartTag>
      </w:smartTag>
      <w:r w:rsidRPr="00F706AB">
        <w:rPr>
          <w:sz w:val="20"/>
        </w:rPr>
        <w:t xml:space="preserve"> white oak, Garry oak, Brewer’s oak, chêne de Garry; three varieties are recognized for this species: </w:t>
      </w:r>
      <w:r w:rsidRPr="00F706AB">
        <w:rPr>
          <w:i/>
          <w:sz w:val="20"/>
        </w:rPr>
        <w:t>Quercus garryana</w:t>
      </w:r>
      <w:r w:rsidRPr="00F706AB">
        <w:rPr>
          <w:sz w:val="20"/>
        </w:rPr>
        <w:t xml:space="preserve"> var. </w:t>
      </w:r>
      <w:r w:rsidRPr="00F706AB">
        <w:rPr>
          <w:i/>
          <w:sz w:val="20"/>
        </w:rPr>
        <w:t>garryana</w:t>
      </w:r>
      <w:r w:rsidRPr="00F706AB">
        <w:rPr>
          <w:sz w:val="20"/>
        </w:rPr>
        <w:t xml:space="preserve">, </w:t>
      </w:r>
      <w:r w:rsidRPr="00F706AB">
        <w:rPr>
          <w:i/>
          <w:sz w:val="20"/>
        </w:rPr>
        <w:t>Quercus garryana</w:t>
      </w:r>
      <w:r w:rsidRPr="00F706AB">
        <w:rPr>
          <w:sz w:val="20"/>
        </w:rPr>
        <w:t xml:space="preserve"> var. </w:t>
      </w:r>
      <w:r w:rsidRPr="00F706AB">
        <w:rPr>
          <w:i/>
          <w:sz w:val="20"/>
        </w:rPr>
        <w:t>breweri</w:t>
      </w:r>
      <w:r w:rsidRPr="00F706AB">
        <w:rPr>
          <w:sz w:val="20"/>
        </w:rPr>
        <w:t xml:space="preserve">, and </w:t>
      </w:r>
      <w:r w:rsidRPr="00F706AB">
        <w:rPr>
          <w:i/>
          <w:sz w:val="20"/>
        </w:rPr>
        <w:t>Quercus garryana</w:t>
      </w:r>
      <w:r w:rsidRPr="00F706AB">
        <w:rPr>
          <w:sz w:val="20"/>
        </w:rPr>
        <w:t xml:space="preserve"> var. </w:t>
      </w:r>
      <w:r w:rsidRPr="00F706AB">
        <w:rPr>
          <w:i/>
          <w:sz w:val="20"/>
        </w:rPr>
        <w:t>semota</w:t>
      </w:r>
    </w:p>
    <w:p w:rsidR="00F706AB" w:rsidRPr="00F706AB" w:rsidRDefault="00F706AB" w:rsidP="00F706AB">
      <w:pPr>
        <w:pStyle w:val="Header"/>
        <w:tabs>
          <w:tab w:val="clear" w:pos="4320"/>
          <w:tab w:val="clear" w:pos="8640"/>
        </w:tabs>
        <w:jc w:val="left"/>
        <w:rPr>
          <w:sz w:val="20"/>
        </w:rPr>
      </w:pPr>
    </w:p>
    <w:p w:rsidR="00F706AB" w:rsidRPr="00F706AB" w:rsidRDefault="00F706AB" w:rsidP="00F706AB">
      <w:pPr>
        <w:pStyle w:val="Heading1"/>
        <w:jc w:val="left"/>
      </w:pPr>
      <w:r w:rsidRPr="00F706AB">
        <w:t>Uses</w:t>
      </w:r>
    </w:p>
    <w:p w:rsidR="00F706AB" w:rsidRPr="00F706AB" w:rsidRDefault="00F706AB" w:rsidP="00F706AB">
      <w:pPr>
        <w:jc w:val="left"/>
        <w:rPr>
          <w:sz w:val="20"/>
        </w:rPr>
      </w:pPr>
      <w:r w:rsidRPr="00F706AB">
        <w:rPr>
          <w:i/>
          <w:sz w:val="20"/>
        </w:rPr>
        <w:t>Wildlife</w:t>
      </w:r>
      <w:r w:rsidRPr="00F706AB">
        <w:rPr>
          <w:sz w:val="20"/>
        </w:rPr>
        <w:t xml:space="preserve">: </w:t>
      </w:r>
      <w:smartTag w:uri="urn:schemas-microsoft-com:office:smarttags" w:element="State">
        <w:smartTag w:uri="urn:schemas-microsoft-com:office:smarttags" w:element="place">
          <w:r w:rsidRPr="00F706AB">
            <w:rPr>
              <w:sz w:val="20"/>
            </w:rPr>
            <w:t>Oregon</w:t>
          </w:r>
        </w:smartTag>
      </w:smartTag>
      <w:r w:rsidRPr="00F706AB">
        <w:rPr>
          <w:sz w:val="20"/>
        </w:rPr>
        <w:t xml:space="preserve"> oak is a valuable source of food and cover for wildlife.  Gray squirrels, deer, and livestock eat acorns and the leaves of young shoots and sprouts.</w:t>
      </w:r>
    </w:p>
    <w:p w:rsidR="00F706AB" w:rsidRPr="00F706AB" w:rsidRDefault="00F706AB" w:rsidP="00F706AB">
      <w:pPr>
        <w:jc w:val="left"/>
        <w:rPr>
          <w:sz w:val="20"/>
        </w:rPr>
      </w:pPr>
    </w:p>
    <w:p w:rsidR="00F706AB" w:rsidRPr="00F706AB" w:rsidRDefault="00F706AB" w:rsidP="00F706AB">
      <w:pPr>
        <w:jc w:val="left"/>
        <w:rPr>
          <w:sz w:val="20"/>
        </w:rPr>
      </w:pPr>
      <w:r w:rsidRPr="00F706AB">
        <w:rPr>
          <w:i/>
          <w:sz w:val="20"/>
        </w:rPr>
        <w:t>Ethnobotanic</w:t>
      </w:r>
      <w:r w:rsidRPr="00F706AB">
        <w:rPr>
          <w:sz w:val="20"/>
        </w:rPr>
        <w:t>: Native Americans used Acorns as a food staple.</w:t>
      </w:r>
    </w:p>
    <w:p w:rsidR="00F706AB" w:rsidRPr="00F706AB" w:rsidRDefault="00F706AB" w:rsidP="00F706AB">
      <w:pPr>
        <w:jc w:val="left"/>
        <w:rPr>
          <w:sz w:val="20"/>
        </w:rPr>
      </w:pPr>
    </w:p>
    <w:p w:rsidR="00F706AB" w:rsidRPr="00F706AB" w:rsidRDefault="00F706AB" w:rsidP="00F706AB">
      <w:pPr>
        <w:jc w:val="left"/>
        <w:rPr>
          <w:sz w:val="20"/>
        </w:rPr>
      </w:pPr>
      <w:r w:rsidRPr="00F706AB">
        <w:rPr>
          <w:i/>
          <w:sz w:val="20"/>
        </w:rPr>
        <w:t>Construction</w:t>
      </w:r>
      <w:r w:rsidRPr="00F706AB">
        <w:rPr>
          <w:sz w:val="20"/>
        </w:rPr>
        <w:t xml:space="preserve">: In the </w:t>
      </w:r>
      <w:smartTag w:uri="urn:schemas-microsoft-com:office:smarttags" w:element="place">
        <w:r w:rsidRPr="00F706AB">
          <w:rPr>
            <w:sz w:val="20"/>
          </w:rPr>
          <w:t>Pacific Northwest</w:t>
        </w:r>
      </w:smartTag>
      <w:r w:rsidRPr="00F706AB">
        <w:rPr>
          <w:sz w:val="20"/>
        </w:rPr>
        <w:t xml:space="preserve">, large trees were preferred for shipbuilding, railroad ties, and construction.  Resistance to decay also contributed to </w:t>
      </w:r>
      <w:r w:rsidRPr="00F706AB">
        <w:rPr>
          <w:sz w:val="20"/>
        </w:rPr>
        <w:lastRenderedPageBreak/>
        <w:t>its use as fence posts.  The wood continues to be important to cottage furniture and cabinet industries.</w:t>
      </w:r>
    </w:p>
    <w:p w:rsidR="00F706AB" w:rsidRPr="00F706AB" w:rsidRDefault="00F706AB" w:rsidP="00F706AB">
      <w:pPr>
        <w:jc w:val="left"/>
        <w:rPr>
          <w:sz w:val="20"/>
        </w:rPr>
      </w:pPr>
    </w:p>
    <w:p w:rsidR="00F706AB" w:rsidRPr="00F706AB" w:rsidRDefault="00F706AB" w:rsidP="00F706AB">
      <w:pPr>
        <w:pStyle w:val="Heading1"/>
        <w:jc w:val="left"/>
      </w:pPr>
      <w:r w:rsidRPr="00F706AB">
        <w:t>Status</w:t>
      </w:r>
    </w:p>
    <w:p w:rsidR="00F706AB" w:rsidRPr="00F706AB" w:rsidRDefault="00F706AB" w:rsidP="00F706AB">
      <w:pPr>
        <w:jc w:val="left"/>
        <w:rPr>
          <w:sz w:val="20"/>
        </w:rPr>
      </w:pPr>
      <w:r w:rsidRPr="00F706AB">
        <w:rPr>
          <w:sz w:val="20"/>
        </w:rPr>
        <w:t>Please consult the PLANTS Web site and your State Department of Natural Resources for this plant’s current status, such as, state noxious status and wetland indicator values.</w:t>
      </w:r>
    </w:p>
    <w:p w:rsidR="00F706AB" w:rsidRPr="00F706AB" w:rsidRDefault="00F706AB" w:rsidP="00F706AB">
      <w:pPr>
        <w:jc w:val="left"/>
        <w:rPr>
          <w:sz w:val="20"/>
        </w:rPr>
      </w:pPr>
    </w:p>
    <w:p w:rsidR="00F706AB" w:rsidRPr="00F706AB" w:rsidRDefault="00F706AB" w:rsidP="00F706AB">
      <w:pPr>
        <w:pStyle w:val="Heading1"/>
        <w:jc w:val="left"/>
      </w:pPr>
      <w:r w:rsidRPr="00F706AB">
        <w:t>Description</w:t>
      </w:r>
    </w:p>
    <w:p w:rsidR="00F706AB" w:rsidRPr="00F706AB" w:rsidRDefault="00F706AB" w:rsidP="00F706AB">
      <w:pPr>
        <w:jc w:val="left"/>
        <w:rPr>
          <w:sz w:val="20"/>
        </w:rPr>
      </w:pPr>
      <w:r w:rsidRPr="00F706AB">
        <w:rPr>
          <w:sz w:val="20"/>
        </w:rPr>
        <w:t xml:space="preserve">General: Oak Family (Fagaceae).  </w:t>
      </w:r>
      <w:r w:rsidRPr="00F706AB">
        <w:rPr>
          <w:i/>
          <w:sz w:val="20"/>
        </w:rPr>
        <w:t>Quercus garryana</w:t>
      </w:r>
      <w:r w:rsidRPr="00F706AB">
        <w:rPr>
          <w:sz w:val="20"/>
        </w:rPr>
        <w:t xml:space="preserve">, a native deciduous tree up to 30 m tall throughout much of its range in the </w:t>
      </w:r>
      <w:smartTag w:uri="urn:schemas-microsoft-com:office:smarttags" w:element="place">
        <w:r w:rsidRPr="00F706AB">
          <w:rPr>
            <w:sz w:val="20"/>
          </w:rPr>
          <w:t>Pacific Northwest</w:t>
        </w:r>
      </w:smartTag>
      <w:r w:rsidRPr="00F706AB">
        <w:rPr>
          <w:sz w:val="20"/>
        </w:rPr>
        <w:t xml:space="preserve">, has an open, rounded crown.  However, in the southern part of its range, including interior </w:t>
      </w:r>
      <w:smartTag w:uri="urn:schemas-microsoft-com:office:smarttags" w:element="State">
        <w:smartTag w:uri="urn:schemas-microsoft-com:office:smarttags" w:element="place">
          <w:r w:rsidRPr="00F706AB">
            <w:rPr>
              <w:sz w:val="20"/>
            </w:rPr>
            <w:t>California</w:t>
          </w:r>
        </w:smartTag>
      </w:smartTag>
      <w:r w:rsidRPr="00F706AB">
        <w:rPr>
          <w:sz w:val="20"/>
        </w:rPr>
        <w:t xml:space="preserve">, it also is a shrub up to 5 m tall, which is treated as var. </w:t>
      </w:r>
      <w:r w:rsidRPr="00F706AB">
        <w:rPr>
          <w:i/>
          <w:sz w:val="20"/>
        </w:rPr>
        <w:t>breweri</w:t>
      </w:r>
      <w:r w:rsidRPr="00F706AB">
        <w:rPr>
          <w:sz w:val="20"/>
        </w:rPr>
        <w:t xml:space="preserve"> (Engelm.) Jepson.  The mature bark is brownish gray and shallowly fissured in a checker-like pattern.  Leaves are oblong to obovate, 8-15 cm long, and deeply lobed (5-7 rounded lobes).  The upper surfaces are shiny and dark green, but the lower surfaces are pale green.  Like all oaks, </w:t>
      </w:r>
      <w:smartTag w:uri="urn:schemas-microsoft-com:office:smarttags" w:element="State">
        <w:smartTag w:uri="urn:schemas-microsoft-com:office:smarttags" w:element="place">
          <w:r w:rsidRPr="00F706AB">
            <w:rPr>
              <w:sz w:val="20"/>
            </w:rPr>
            <w:t>Oregon</w:t>
          </w:r>
        </w:smartTag>
      </w:smartTag>
      <w:r w:rsidRPr="00F706AB">
        <w:rPr>
          <w:sz w:val="20"/>
        </w:rPr>
        <w:t xml:space="preserve"> oak is monoecious and wind-pollinated.  The acorn cups are composed of thick, tubercled scales.  The one-seeded nuts are 2-3 cm long, ovoid, and mature in one year.  Flowering takes place from March to May.  Fruits mature between August and November.  Color images, line drawings, and a description can be found in Farrar (1995).</w:t>
      </w:r>
    </w:p>
    <w:p w:rsidR="00F706AB" w:rsidRPr="00F706AB" w:rsidRDefault="00F706AB" w:rsidP="00F706AB">
      <w:pPr>
        <w:jc w:val="left"/>
        <w:rPr>
          <w:sz w:val="20"/>
        </w:rPr>
      </w:pPr>
    </w:p>
    <w:p w:rsidR="00F706AB" w:rsidRPr="00F706AB" w:rsidRDefault="00F706AB" w:rsidP="00F706AB">
      <w:pPr>
        <w:pStyle w:val="Heading1"/>
        <w:jc w:val="left"/>
      </w:pPr>
      <w:r w:rsidRPr="00F706AB">
        <w:t>Distribution</w:t>
      </w:r>
    </w:p>
    <w:p w:rsidR="00F706AB" w:rsidRPr="00F706AB" w:rsidRDefault="00F706AB" w:rsidP="00F706AB">
      <w:pPr>
        <w:jc w:val="left"/>
        <w:rPr>
          <w:sz w:val="20"/>
        </w:rPr>
      </w:pPr>
      <w:r w:rsidRPr="00F706AB">
        <w:rPr>
          <w:sz w:val="20"/>
        </w:rPr>
        <w:t xml:space="preserve">This species is known from </w:t>
      </w:r>
      <w:smartTag w:uri="urn:schemas-microsoft-com:office:smarttags" w:element="State">
        <w:r w:rsidRPr="00F706AB">
          <w:rPr>
            <w:sz w:val="20"/>
          </w:rPr>
          <w:t>California</w:t>
        </w:r>
      </w:smartTag>
      <w:r w:rsidRPr="00F706AB">
        <w:rPr>
          <w:sz w:val="20"/>
        </w:rPr>
        <w:t xml:space="preserve">, </w:t>
      </w:r>
      <w:smartTag w:uri="urn:schemas-microsoft-com:office:smarttags" w:element="City">
        <w:r w:rsidRPr="00F706AB">
          <w:rPr>
            <w:sz w:val="20"/>
          </w:rPr>
          <w:t>Washington</w:t>
        </w:r>
      </w:smartTag>
      <w:r w:rsidRPr="00F706AB">
        <w:rPr>
          <w:sz w:val="20"/>
        </w:rPr>
        <w:t xml:space="preserve">, </w:t>
      </w:r>
      <w:smartTag w:uri="urn:schemas-microsoft-com:office:smarttags" w:element="State">
        <w:r w:rsidRPr="00F706AB">
          <w:rPr>
            <w:sz w:val="20"/>
          </w:rPr>
          <w:t>Oregon</w:t>
        </w:r>
      </w:smartTag>
      <w:r w:rsidRPr="00F706AB">
        <w:rPr>
          <w:sz w:val="20"/>
        </w:rPr>
        <w:t xml:space="preserve">, and </w:t>
      </w:r>
      <w:smartTag w:uri="urn:schemas-microsoft-com:office:smarttags" w:element="State">
        <w:smartTag w:uri="urn:schemas-microsoft-com:office:smarttags" w:element="place">
          <w:r w:rsidRPr="00F706AB">
            <w:rPr>
              <w:sz w:val="20"/>
            </w:rPr>
            <w:t>British Columbia</w:t>
          </w:r>
        </w:smartTag>
      </w:smartTag>
      <w:r w:rsidRPr="00F706AB">
        <w:rPr>
          <w:sz w:val="20"/>
        </w:rPr>
        <w:t>.  For current distribution, please consult the Plant Profile page for this species on the PLANTS Web site.</w:t>
      </w:r>
    </w:p>
    <w:p w:rsidR="00F706AB" w:rsidRPr="00F706AB" w:rsidRDefault="00F706AB" w:rsidP="00F706AB">
      <w:pPr>
        <w:jc w:val="left"/>
        <w:rPr>
          <w:sz w:val="20"/>
        </w:rPr>
      </w:pPr>
    </w:p>
    <w:p w:rsidR="00F706AB" w:rsidRPr="00F706AB" w:rsidRDefault="00F706AB" w:rsidP="00F706AB">
      <w:pPr>
        <w:pStyle w:val="Heading1"/>
        <w:jc w:val="left"/>
      </w:pPr>
      <w:r w:rsidRPr="00F706AB">
        <w:t>Establishment</w:t>
      </w:r>
    </w:p>
    <w:p w:rsidR="00F706AB" w:rsidRPr="00F706AB" w:rsidRDefault="00F706AB" w:rsidP="00F706AB">
      <w:pPr>
        <w:jc w:val="left"/>
        <w:rPr>
          <w:sz w:val="20"/>
        </w:rPr>
      </w:pPr>
      <w:r w:rsidRPr="00F706AB">
        <w:rPr>
          <w:i/>
          <w:sz w:val="20"/>
        </w:rPr>
        <w:t>Adaptation</w:t>
      </w:r>
      <w:r w:rsidRPr="00F706AB">
        <w:rPr>
          <w:sz w:val="20"/>
        </w:rPr>
        <w:t xml:space="preserve">: </w:t>
      </w:r>
      <w:smartTag w:uri="urn:schemas-microsoft-com:office:smarttags" w:element="State">
        <w:smartTag w:uri="urn:schemas-microsoft-com:office:smarttags" w:element="place">
          <w:r w:rsidRPr="00F706AB">
            <w:rPr>
              <w:sz w:val="20"/>
            </w:rPr>
            <w:t>Oregon</w:t>
          </w:r>
        </w:smartTag>
      </w:smartTag>
      <w:r w:rsidRPr="00F706AB">
        <w:rPr>
          <w:sz w:val="20"/>
        </w:rPr>
        <w:t xml:space="preserve"> oak is best developed as a tree on slopes and valleys below 1500 m where annual rainfall exceeds 30 inches.  The range in climate is considerable, extending from the relatively cool, moist Fraser Valley of British Columbia to the summer-dry Coast Ranges north of </w:t>
      </w:r>
      <w:smartTag w:uri="urn:schemas-microsoft-com:office:smarttags" w:element="City">
        <w:r w:rsidRPr="00F706AB">
          <w:rPr>
            <w:sz w:val="20"/>
          </w:rPr>
          <w:t>San Francisco</w:t>
        </w:r>
      </w:smartTag>
      <w:r w:rsidRPr="00F706AB">
        <w:rPr>
          <w:sz w:val="20"/>
        </w:rPr>
        <w:t xml:space="preserve"> and the foothills of the Sierra Nevada in </w:t>
      </w:r>
      <w:smartTag w:uri="urn:schemas-microsoft-com:office:smarttags" w:element="State">
        <w:smartTag w:uri="urn:schemas-microsoft-com:office:smarttags" w:element="place">
          <w:r w:rsidRPr="00F706AB">
            <w:rPr>
              <w:sz w:val="20"/>
            </w:rPr>
            <w:t>California</w:t>
          </w:r>
        </w:smartTag>
      </w:smartTag>
      <w:r w:rsidRPr="00F706AB">
        <w:rPr>
          <w:sz w:val="20"/>
        </w:rPr>
        <w:t xml:space="preserve">.  </w:t>
      </w:r>
      <w:smartTag w:uri="urn:schemas-microsoft-com:office:smarttags" w:element="State">
        <w:smartTag w:uri="urn:schemas-microsoft-com:office:smarttags" w:element="place">
          <w:r w:rsidRPr="00F706AB">
            <w:rPr>
              <w:sz w:val="20"/>
            </w:rPr>
            <w:t>Oregon</w:t>
          </w:r>
        </w:smartTag>
      </w:smartTag>
      <w:r w:rsidRPr="00F706AB">
        <w:rPr>
          <w:sz w:val="20"/>
        </w:rPr>
        <w:t xml:space="preserve"> oak takes the form of a shrub on nutrient-poor soils (e.g., serpentine) and drier sites, often forming clonal thickets.  It is tolerant of freezing conditions and also has a broad tolerance of substrates, which vary from rocky, thin soils of ridges to the deep loams and clays of valley bottoms.  Common associates in mixed forests include madrone, Douglas fir, tanbark oak, and yellow pines.  </w:t>
      </w:r>
      <w:r w:rsidRPr="00F706AB">
        <w:rPr>
          <w:sz w:val="20"/>
        </w:rPr>
        <w:lastRenderedPageBreak/>
        <w:t xml:space="preserve">In the coastal mountains and in the absence of fire, Douglas fir gradually replaces </w:t>
      </w:r>
      <w:smartTag w:uri="urn:schemas-microsoft-com:office:smarttags" w:element="State">
        <w:smartTag w:uri="urn:schemas-microsoft-com:office:smarttags" w:element="place">
          <w:r w:rsidRPr="00F706AB">
            <w:rPr>
              <w:sz w:val="20"/>
            </w:rPr>
            <w:t>Oregon</w:t>
          </w:r>
        </w:smartTag>
      </w:smartTag>
      <w:r w:rsidRPr="00F706AB">
        <w:rPr>
          <w:sz w:val="20"/>
        </w:rPr>
        <w:t xml:space="preserve"> oak.  Throughout much of its range, </w:t>
      </w:r>
      <w:smartTag w:uri="urn:schemas-microsoft-com:office:smarttags" w:element="State">
        <w:smartTag w:uri="urn:schemas-microsoft-com:office:smarttags" w:element="place">
          <w:r w:rsidRPr="00F706AB">
            <w:rPr>
              <w:sz w:val="20"/>
            </w:rPr>
            <w:t>Oregon</w:t>
          </w:r>
        </w:smartTag>
      </w:smartTag>
      <w:r w:rsidRPr="00F706AB">
        <w:rPr>
          <w:sz w:val="20"/>
        </w:rPr>
        <w:t xml:space="preserve"> oak reproduces extensively by basal sprouts, which often develop after fires.  Thus, Oregon Oak is often associated with local grasslands maintained by fire.  In some areas seedlings develop into multi-stemmed plants, which may live up to 10 years, until a single shoot becomes dominant.  Like most oaks, </w:t>
      </w:r>
      <w:smartTag w:uri="urn:schemas-microsoft-com:office:smarttags" w:element="State">
        <w:smartTag w:uri="urn:schemas-microsoft-com:office:smarttags" w:element="place">
          <w:r w:rsidRPr="00F706AB">
            <w:rPr>
              <w:sz w:val="20"/>
            </w:rPr>
            <w:t>Oregon</w:t>
          </w:r>
        </w:smartTag>
      </w:smartTag>
      <w:r w:rsidRPr="00F706AB">
        <w:rPr>
          <w:sz w:val="20"/>
        </w:rPr>
        <w:t xml:space="preserve"> oak has an obligate relationship with mycorrhizal fungi, which provide additional moisture and nutrients.</w:t>
      </w:r>
    </w:p>
    <w:p w:rsidR="00F706AB" w:rsidRPr="00F706AB" w:rsidRDefault="00F706AB" w:rsidP="00F706AB">
      <w:pPr>
        <w:jc w:val="left"/>
        <w:rPr>
          <w:sz w:val="20"/>
        </w:rPr>
      </w:pPr>
    </w:p>
    <w:p w:rsidR="00F706AB" w:rsidRPr="00F706AB" w:rsidRDefault="00F706AB" w:rsidP="00F706AB">
      <w:pPr>
        <w:jc w:val="left"/>
        <w:rPr>
          <w:sz w:val="20"/>
        </w:rPr>
      </w:pPr>
      <w:r w:rsidRPr="00F706AB">
        <w:rPr>
          <w:i/>
          <w:sz w:val="20"/>
        </w:rPr>
        <w:t>Seed Preparation</w:t>
      </w:r>
      <w:r w:rsidRPr="00F706AB">
        <w:rPr>
          <w:sz w:val="20"/>
        </w:rPr>
        <w:t>: Oak seeds do not store well and consequently seeds should be planted soon after maturity.  Nuts are considered ripe when they separate freely from the acorn cap and fall from the tree.  Care should be taken to collect local fruits, because they may be adapted to local environmental conditions.  Viable nuts may be green to brown, and have unblemished walls.  Nuts with discoloration or sticky exudates, and small holes caused by insect larvae, should be discarded.</w:t>
      </w:r>
    </w:p>
    <w:p w:rsidR="00F706AB" w:rsidRPr="00F706AB" w:rsidRDefault="00F706AB" w:rsidP="00F706AB">
      <w:pPr>
        <w:jc w:val="left"/>
        <w:rPr>
          <w:sz w:val="20"/>
        </w:rPr>
      </w:pPr>
    </w:p>
    <w:p w:rsidR="00F706AB" w:rsidRPr="00F706AB" w:rsidRDefault="00F706AB" w:rsidP="00F706AB">
      <w:pPr>
        <w:jc w:val="left"/>
        <w:rPr>
          <w:sz w:val="20"/>
        </w:rPr>
      </w:pPr>
      <w:r w:rsidRPr="00F706AB">
        <w:rPr>
          <w:i/>
          <w:sz w:val="20"/>
        </w:rPr>
        <w:t>Direct Seeding</w:t>
      </w:r>
      <w:r w:rsidRPr="00F706AB">
        <w:rPr>
          <w:sz w:val="20"/>
        </w:rPr>
        <w:t>: Seeds may be planted at the beginning of the winter.  Once the site is chosen, prepare holes that are 10 inches in diameter and 4-5 inches deep.  One gram of a slow-release fertilizer should be placed in the bottom and covered by a small amount of soil.  Place 6-10 acorns in each hole at a depth of 1-2 inches.  Rodents or birds should use temporary enclosures to minimize herbivory.  A simple enclosure can be constructed from a one-quart plastic dairy container with the bottom removed and a metal screen attached.  Towards the end of the first season, seedlings should be thinned to 2 or 3 per hole and to one seedling by the second season.  Supplemental watering may be necessary if a drought of 6 weeks or more occurs during the spring.</w:t>
      </w:r>
    </w:p>
    <w:p w:rsidR="00F706AB" w:rsidRPr="00F706AB" w:rsidRDefault="00F706AB" w:rsidP="00F706AB">
      <w:pPr>
        <w:jc w:val="left"/>
        <w:rPr>
          <w:sz w:val="20"/>
        </w:rPr>
      </w:pPr>
    </w:p>
    <w:p w:rsidR="00F706AB" w:rsidRPr="00F706AB" w:rsidRDefault="00F706AB" w:rsidP="00F706AB">
      <w:pPr>
        <w:jc w:val="left"/>
        <w:rPr>
          <w:sz w:val="20"/>
        </w:rPr>
      </w:pPr>
      <w:r w:rsidRPr="00F706AB">
        <w:rPr>
          <w:i/>
          <w:sz w:val="20"/>
        </w:rPr>
        <w:t>Container Planting</w:t>
      </w:r>
      <w:r w:rsidRPr="00F706AB">
        <w:rPr>
          <w:sz w:val="20"/>
        </w:rPr>
        <w:t>: Seeds may be planted in one-gallon containers, using well-drained potting soil that includes slow-release fertilizer.  Tapered plastic planting tubes, with a volume of 10 cubic inches, may also be used.  Seeds should be planted 1-2 inches deep and the soil kept moist and aerated.  Seedlings should be transplanted as soon as the first leaves open and become firm, which generally occurs in spring.  Planting holes should be at least twice as wide and deep as the container.  Seedlings may require watering every 2-3 weeks during the first season.  Care should be taken to weed and mulch around young plants until they are 6-10 inches tall.</w:t>
      </w:r>
    </w:p>
    <w:p w:rsidR="00F706AB" w:rsidRPr="00F706AB" w:rsidRDefault="00F706AB" w:rsidP="00F706AB">
      <w:pPr>
        <w:jc w:val="left"/>
        <w:rPr>
          <w:sz w:val="20"/>
        </w:rPr>
      </w:pPr>
    </w:p>
    <w:p w:rsidR="00F706AB" w:rsidRPr="00F706AB" w:rsidRDefault="00F706AB" w:rsidP="00F706AB">
      <w:pPr>
        <w:pStyle w:val="Heading1"/>
        <w:jc w:val="left"/>
      </w:pPr>
      <w:r w:rsidRPr="00F706AB">
        <w:t>Management</w:t>
      </w:r>
    </w:p>
    <w:p w:rsidR="00F706AB" w:rsidRPr="00F706AB" w:rsidRDefault="00F706AB" w:rsidP="00F706AB">
      <w:pPr>
        <w:jc w:val="left"/>
        <w:rPr>
          <w:sz w:val="20"/>
        </w:rPr>
      </w:pPr>
      <w:r w:rsidRPr="00F706AB">
        <w:rPr>
          <w:noProof/>
          <w:sz w:val="20"/>
        </w:rPr>
        <w:pict>
          <v:shape id="_x0000_s1065" type="#_x0000_t202" style="position:absolute;margin-left:4.05pt;margin-top:-362.25pt;width:208.8pt;height:187.2pt;z-index:251658240" stroked="f">
            <v:textbox>
              <w:txbxContent>
                <w:p w:rsidR="00F706AB" w:rsidRDefault="00B25E9C" w:rsidP="00F706AB">
                  <w:pPr>
                    <w:pStyle w:val="Header"/>
                    <w:tabs>
                      <w:tab w:val="clear" w:pos="4320"/>
                      <w:tab w:val="clear" w:pos="8640"/>
                    </w:tabs>
                  </w:pPr>
                  <w:r>
                    <w:rPr>
                      <w:noProof/>
                    </w:rPr>
                    <w:drawing>
                      <wp:inline distT="0" distB="0" distL="0" distR="0">
                        <wp:extent cx="2466975" cy="1895475"/>
                        <wp:effectExtent l="19050" t="0" r="9525" b="0"/>
                        <wp:docPr id="3" name="Picture 3" descr="QUGA 0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GA 0050"/>
                                <pic:cNvPicPr>
                                  <a:picLocks noChangeAspect="1" noChangeArrowheads="1"/>
                                </pic:cNvPicPr>
                              </pic:nvPicPr>
                              <pic:blipFill>
                                <a:blip r:embed="rId9"/>
                                <a:srcRect/>
                                <a:stretch>
                                  <a:fillRect/>
                                </a:stretch>
                              </pic:blipFill>
                              <pic:spPr bwMode="auto">
                                <a:xfrm>
                                  <a:off x="0" y="0"/>
                                  <a:ext cx="2466975" cy="1895475"/>
                                </a:xfrm>
                                <a:prstGeom prst="rect">
                                  <a:avLst/>
                                </a:prstGeom>
                                <a:noFill/>
                                <a:ln w="9525">
                                  <a:noFill/>
                                  <a:miter lim="800000"/>
                                  <a:headEnd/>
                                  <a:tailEnd/>
                                </a:ln>
                              </pic:spPr>
                            </pic:pic>
                          </a:graphicData>
                        </a:graphic>
                      </wp:inline>
                    </w:drawing>
                  </w:r>
                </w:p>
                <w:p w:rsidR="00F706AB" w:rsidRDefault="00F706AB" w:rsidP="00F706AB">
                  <w:pPr>
                    <w:jc w:val="right"/>
                    <w:rPr>
                      <w:sz w:val="14"/>
                    </w:rPr>
                  </w:pPr>
                  <w:r>
                    <w:rPr>
                      <w:sz w:val="14"/>
                    </w:rPr>
                    <w:t>Charles Webber</w:t>
                  </w:r>
                </w:p>
                <w:p w:rsidR="00F706AB" w:rsidRDefault="00F706AB" w:rsidP="00F706AB">
                  <w:pPr>
                    <w:jc w:val="right"/>
                    <w:rPr>
                      <w:sz w:val="14"/>
                    </w:rPr>
                  </w:pPr>
                  <w:r>
                    <w:rPr>
                      <w:sz w:val="14"/>
                    </w:rPr>
                    <w:sym w:font="Symbol" w:char="F0D3"/>
                  </w:r>
                  <w:r>
                    <w:rPr>
                      <w:sz w:val="14"/>
                    </w:rPr>
                    <w:t xml:space="preserve"> </w:t>
                  </w:r>
                  <w:smartTag w:uri="urn:schemas-microsoft-com:office:smarttags" w:element="place">
                    <w:smartTag w:uri="urn:schemas-microsoft-com:office:smarttags" w:element="PlaceName">
                      <w:r>
                        <w:rPr>
                          <w:sz w:val="14"/>
                        </w:rPr>
                        <w:t>California</w:t>
                      </w:r>
                    </w:smartTag>
                    <w:r>
                      <w:rPr>
                        <w:sz w:val="14"/>
                      </w:rPr>
                      <w:t xml:space="preserve"> </w:t>
                    </w:r>
                    <w:smartTag w:uri="urn:schemas-microsoft-com:office:smarttags" w:element="PlaceType">
                      <w:r>
                        <w:rPr>
                          <w:sz w:val="14"/>
                        </w:rPr>
                        <w:t>Academy</w:t>
                      </w:r>
                    </w:smartTag>
                  </w:smartTag>
                  <w:r>
                    <w:rPr>
                      <w:sz w:val="14"/>
                    </w:rPr>
                    <w:t xml:space="preserve"> of Sciences</w:t>
                  </w:r>
                </w:p>
                <w:p w:rsidR="00F706AB" w:rsidRDefault="00F706AB" w:rsidP="00F706AB">
                  <w:pPr>
                    <w:jc w:val="right"/>
                    <w:rPr>
                      <w:sz w:val="14"/>
                    </w:rPr>
                  </w:pPr>
                  <w:r>
                    <w:rPr>
                      <w:sz w:val="14"/>
                    </w:rPr>
                    <w:t>@ CalPhotos</w:t>
                  </w:r>
                </w:p>
              </w:txbxContent>
            </v:textbox>
            <w10:wrap type="topAndBottom"/>
          </v:shape>
        </w:pict>
      </w:r>
      <w:r w:rsidRPr="00F706AB">
        <w:rPr>
          <w:sz w:val="20"/>
        </w:rPr>
        <w:t xml:space="preserve">Natural regeneration, through sprouting and seed germination, is promoted by fire, which contributes to expansion and persistence of </w:t>
      </w:r>
      <w:smartTag w:uri="urn:schemas-microsoft-com:office:smarttags" w:element="State">
        <w:smartTag w:uri="urn:schemas-microsoft-com:office:smarttags" w:element="place">
          <w:r w:rsidRPr="00F706AB">
            <w:rPr>
              <w:sz w:val="20"/>
            </w:rPr>
            <w:t>Oregon</w:t>
          </w:r>
        </w:smartTag>
      </w:smartTag>
      <w:r w:rsidRPr="00F706AB">
        <w:rPr>
          <w:sz w:val="20"/>
        </w:rPr>
        <w:t xml:space="preserve"> oak stands.  Continued disturbance by fire may result in pure stands that are often associated with an understory of grasses or scattered shrubs.  </w:t>
      </w:r>
      <w:smartTag w:uri="urn:schemas-microsoft-com:office:smarttags" w:element="State">
        <w:smartTag w:uri="urn:schemas-microsoft-com:office:smarttags" w:element="place">
          <w:r w:rsidRPr="00F706AB">
            <w:rPr>
              <w:sz w:val="20"/>
            </w:rPr>
            <w:t>Oregon</w:t>
          </w:r>
        </w:smartTag>
      </w:smartTag>
      <w:r w:rsidRPr="00F706AB">
        <w:rPr>
          <w:sz w:val="20"/>
        </w:rPr>
        <w:t xml:space="preserve"> oak is not as susceptible to oak crown and root rot fungi (e.g., </w:t>
      </w:r>
      <w:r w:rsidRPr="00F706AB">
        <w:rPr>
          <w:i/>
          <w:sz w:val="20"/>
        </w:rPr>
        <w:t>Inonotus</w:t>
      </w:r>
      <w:r w:rsidRPr="00F706AB">
        <w:rPr>
          <w:sz w:val="20"/>
        </w:rPr>
        <w:t xml:space="preserve">, </w:t>
      </w:r>
      <w:r w:rsidRPr="00F706AB">
        <w:rPr>
          <w:i/>
          <w:sz w:val="20"/>
        </w:rPr>
        <w:t>Ganoderma</w:t>
      </w:r>
      <w:r w:rsidRPr="00F706AB">
        <w:rPr>
          <w:sz w:val="20"/>
        </w:rPr>
        <w:t xml:space="preserve">, and </w:t>
      </w:r>
      <w:r w:rsidRPr="00F706AB">
        <w:rPr>
          <w:i/>
          <w:sz w:val="20"/>
        </w:rPr>
        <w:t>Laetiporus</w:t>
      </w:r>
      <w:r w:rsidRPr="00F706AB">
        <w:rPr>
          <w:sz w:val="20"/>
        </w:rPr>
        <w:t>) as other oaks, unless disturbed by changes that include irrigation.  Activities that disturb or compact soil around large trees, especially in urban settings, should be avoided.</w:t>
      </w:r>
    </w:p>
    <w:p w:rsidR="00F706AB" w:rsidRPr="00F706AB" w:rsidRDefault="00F706AB" w:rsidP="00F706AB">
      <w:pPr>
        <w:jc w:val="left"/>
        <w:rPr>
          <w:sz w:val="20"/>
        </w:rPr>
      </w:pPr>
    </w:p>
    <w:p w:rsidR="00F706AB" w:rsidRPr="00F706AB" w:rsidRDefault="00F706AB" w:rsidP="00F706AB">
      <w:pPr>
        <w:pStyle w:val="Heading1"/>
        <w:jc w:val="left"/>
      </w:pPr>
      <w:r w:rsidRPr="00F706AB">
        <w:t>Cultivars, Improved and Selected Materials (and area of origin)</w:t>
      </w:r>
    </w:p>
    <w:p w:rsidR="00F706AB" w:rsidRPr="00F706AB" w:rsidRDefault="00F706AB" w:rsidP="00F706AB">
      <w:pPr>
        <w:jc w:val="left"/>
        <w:rPr>
          <w:sz w:val="20"/>
        </w:rPr>
      </w:pPr>
      <w:r w:rsidRPr="00F706AB">
        <w:rPr>
          <w:sz w:val="20"/>
        </w:rPr>
        <w:t>This species can be acquired from nurseries throughout its range that deal in native plants.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F706AB" w:rsidRPr="00F706AB" w:rsidRDefault="00F706AB" w:rsidP="00F706AB">
      <w:pPr>
        <w:pStyle w:val="Header"/>
        <w:tabs>
          <w:tab w:val="clear" w:pos="4320"/>
          <w:tab w:val="clear" w:pos="8640"/>
        </w:tabs>
        <w:jc w:val="left"/>
        <w:rPr>
          <w:sz w:val="20"/>
        </w:rPr>
      </w:pPr>
    </w:p>
    <w:p w:rsidR="00F706AB" w:rsidRPr="00F706AB" w:rsidRDefault="00F706AB" w:rsidP="00F706AB">
      <w:pPr>
        <w:pStyle w:val="Heading1"/>
        <w:jc w:val="left"/>
      </w:pPr>
      <w:r w:rsidRPr="00F706AB">
        <w:t>References</w:t>
      </w:r>
    </w:p>
    <w:p w:rsidR="00F706AB" w:rsidRPr="00F706AB" w:rsidRDefault="00F706AB" w:rsidP="00F706AB">
      <w:pPr>
        <w:jc w:val="left"/>
        <w:rPr>
          <w:sz w:val="20"/>
        </w:rPr>
      </w:pPr>
      <w:r w:rsidRPr="00F706AB">
        <w:rPr>
          <w:sz w:val="20"/>
        </w:rPr>
        <w:t xml:space="preserve">CalPhotos 2000.  </w:t>
      </w:r>
      <w:r w:rsidRPr="00F706AB">
        <w:rPr>
          <w:i/>
          <w:sz w:val="20"/>
        </w:rPr>
        <w:t>Quercus garryana</w:t>
      </w:r>
      <w:r w:rsidRPr="00F706AB">
        <w:rPr>
          <w:sz w:val="20"/>
        </w:rPr>
        <w:t xml:space="preserve">.  Version: 000502.  &lt;http://www.calflora.org&gt;.  CalFlora, Inc., </w:t>
      </w:r>
      <w:smartTag w:uri="urn:schemas-microsoft-com:office:smarttags" w:element="place">
        <w:smartTag w:uri="urn:schemas-microsoft-com:office:smarttags" w:element="City">
          <w:r w:rsidRPr="00F706AB">
            <w:rPr>
              <w:sz w:val="20"/>
            </w:rPr>
            <w:t>Berkeley</w:t>
          </w:r>
        </w:smartTag>
        <w:r w:rsidRPr="00F706AB">
          <w:rPr>
            <w:sz w:val="20"/>
          </w:rPr>
          <w:t xml:space="preserve">, </w:t>
        </w:r>
        <w:smartTag w:uri="urn:schemas-microsoft-com:office:smarttags" w:element="State">
          <w:r w:rsidRPr="00F706AB">
            <w:rPr>
              <w:sz w:val="20"/>
            </w:rPr>
            <w:t>California</w:t>
          </w:r>
        </w:smartTag>
      </w:smartTag>
      <w:r w:rsidRPr="00F706AB">
        <w:rPr>
          <w:sz w:val="20"/>
        </w:rPr>
        <w:t>.</w:t>
      </w:r>
    </w:p>
    <w:p w:rsidR="00F706AB" w:rsidRPr="00F706AB" w:rsidRDefault="00F706AB" w:rsidP="00F706AB">
      <w:pPr>
        <w:jc w:val="left"/>
        <w:rPr>
          <w:sz w:val="20"/>
        </w:rPr>
      </w:pPr>
    </w:p>
    <w:p w:rsidR="00F706AB" w:rsidRPr="00F706AB" w:rsidRDefault="00F706AB" w:rsidP="00F706AB">
      <w:pPr>
        <w:jc w:val="left"/>
        <w:rPr>
          <w:sz w:val="20"/>
        </w:rPr>
      </w:pPr>
      <w:r w:rsidRPr="00F706AB">
        <w:rPr>
          <w:sz w:val="20"/>
        </w:rPr>
        <w:t>Farrar, J.L. 1995</w:t>
      </w:r>
      <w:r w:rsidRPr="00F706AB">
        <w:rPr>
          <w:i/>
          <w:sz w:val="20"/>
        </w:rPr>
        <w:t>.  Trees of the northern United States and Canada</w:t>
      </w:r>
      <w:r w:rsidRPr="00F706AB">
        <w:rPr>
          <w:sz w:val="20"/>
        </w:rPr>
        <w:t xml:space="preserve">.  </w:t>
      </w:r>
      <w:smartTag w:uri="urn:schemas-microsoft-com:office:smarttags" w:element="PlaceName">
        <w:r w:rsidRPr="00F706AB">
          <w:rPr>
            <w:sz w:val="20"/>
          </w:rPr>
          <w:t>Iowa</w:t>
        </w:r>
      </w:smartTag>
      <w:r w:rsidRPr="00F706AB">
        <w:rPr>
          <w:sz w:val="20"/>
        </w:rPr>
        <w:t xml:space="preserve"> </w:t>
      </w:r>
      <w:smartTag w:uri="urn:schemas-microsoft-com:office:smarttags" w:element="PlaceType">
        <w:r w:rsidRPr="00F706AB">
          <w:rPr>
            <w:sz w:val="20"/>
          </w:rPr>
          <w:t>State</w:t>
        </w:r>
      </w:smartTag>
      <w:r w:rsidRPr="00F706AB">
        <w:rPr>
          <w:sz w:val="20"/>
        </w:rPr>
        <w:t xml:space="preserve"> </w:t>
      </w:r>
      <w:smartTag w:uri="urn:schemas-microsoft-com:office:smarttags" w:element="PlaceType">
        <w:r w:rsidRPr="00F706AB">
          <w:rPr>
            <w:sz w:val="20"/>
          </w:rPr>
          <w:t>University</w:t>
        </w:r>
      </w:smartTag>
      <w:r w:rsidRPr="00F706AB">
        <w:rPr>
          <w:sz w:val="20"/>
        </w:rPr>
        <w:t xml:space="preserve"> Press, </w:t>
      </w:r>
      <w:smartTag w:uri="urn:schemas-microsoft-com:office:smarttags" w:element="place">
        <w:smartTag w:uri="urn:schemas-microsoft-com:office:smarttags" w:element="City">
          <w:r w:rsidRPr="00F706AB">
            <w:rPr>
              <w:sz w:val="20"/>
            </w:rPr>
            <w:t>Ames</w:t>
          </w:r>
        </w:smartTag>
        <w:r w:rsidRPr="00F706AB">
          <w:rPr>
            <w:sz w:val="20"/>
          </w:rPr>
          <w:t xml:space="preserve">, </w:t>
        </w:r>
        <w:smartTag w:uri="urn:schemas-microsoft-com:office:smarttags" w:element="State">
          <w:r w:rsidRPr="00F706AB">
            <w:rPr>
              <w:sz w:val="20"/>
            </w:rPr>
            <w:t>Iowa</w:t>
          </w:r>
        </w:smartTag>
      </w:smartTag>
      <w:r w:rsidRPr="00F706AB">
        <w:rPr>
          <w:sz w:val="20"/>
        </w:rPr>
        <w:t>.  502 pp.</w:t>
      </w:r>
    </w:p>
    <w:p w:rsidR="00F706AB" w:rsidRPr="00F706AB" w:rsidRDefault="00F706AB" w:rsidP="00F706AB">
      <w:pPr>
        <w:jc w:val="left"/>
        <w:rPr>
          <w:sz w:val="20"/>
        </w:rPr>
      </w:pPr>
    </w:p>
    <w:p w:rsidR="00F706AB" w:rsidRPr="00F706AB" w:rsidRDefault="00F706AB" w:rsidP="00F706AB">
      <w:pPr>
        <w:jc w:val="left"/>
        <w:rPr>
          <w:sz w:val="20"/>
        </w:rPr>
      </w:pPr>
      <w:r w:rsidRPr="00F706AB">
        <w:rPr>
          <w:sz w:val="20"/>
        </w:rPr>
        <w:t xml:space="preserve">Franklin, J. &amp; C. Dyrness 1973.  </w:t>
      </w:r>
      <w:r w:rsidRPr="00F706AB">
        <w:rPr>
          <w:i/>
          <w:sz w:val="20"/>
        </w:rPr>
        <w:t>Natural vegetation of Oregon and Washington</w:t>
      </w:r>
      <w:r w:rsidRPr="00F706AB">
        <w:rPr>
          <w:sz w:val="20"/>
        </w:rPr>
        <w:t xml:space="preserve">.  USDA, </w:t>
      </w:r>
      <w:smartTag w:uri="urn:schemas-microsoft-com:office:smarttags" w:element="place">
        <w:r w:rsidRPr="00F706AB">
          <w:rPr>
            <w:sz w:val="20"/>
          </w:rPr>
          <w:t>Forest</w:t>
        </w:r>
      </w:smartTag>
      <w:r w:rsidRPr="00F706AB">
        <w:rPr>
          <w:sz w:val="20"/>
        </w:rPr>
        <w:t xml:space="preserve"> Service, General Technical Report PNW 8.  417 pp.</w:t>
      </w:r>
    </w:p>
    <w:p w:rsidR="00F706AB" w:rsidRPr="00F706AB" w:rsidRDefault="00F706AB" w:rsidP="00F706AB">
      <w:pPr>
        <w:jc w:val="left"/>
        <w:rPr>
          <w:sz w:val="20"/>
        </w:rPr>
      </w:pPr>
    </w:p>
    <w:p w:rsidR="00F706AB" w:rsidRPr="00F706AB" w:rsidRDefault="00F706AB" w:rsidP="00F706AB">
      <w:pPr>
        <w:jc w:val="left"/>
        <w:rPr>
          <w:sz w:val="20"/>
        </w:rPr>
      </w:pPr>
      <w:smartTag w:uri="urn:schemas-microsoft-com:office:smarttags" w:element="City">
        <w:smartTag w:uri="urn:schemas-microsoft-com:office:smarttags" w:element="place">
          <w:r w:rsidRPr="00F706AB">
            <w:rPr>
              <w:sz w:val="20"/>
            </w:rPr>
            <w:t>Griffin</w:t>
          </w:r>
        </w:smartTag>
      </w:smartTag>
      <w:r w:rsidRPr="00F706AB">
        <w:rPr>
          <w:sz w:val="20"/>
        </w:rPr>
        <w:t xml:space="preserve">, J. 1977.  </w:t>
      </w:r>
      <w:r w:rsidRPr="00F706AB">
        <w:rPr>
          <w:i/>
          <w:sz w:val="20"/>
        </w:rPr>
        <w:t>Oak woodland</w:t>
      </w:r>
      <w:r w:rsidRPr="00F706AB">
        <w:rPr>
          <w:sz w:val="20"/>
        </w:rPr>
        <w:t xml:space="preserve">.  pp. 383-415.  IN M. Barbour and J. Major (eds.).  </w:t>
      </w:r>
      <w:r w:rsidRPr="00F706AB">
        <w:rPr>
          <w:i/>
          <w:sz w:val="20"/>
        </w:rPr>
        <w:t>Terrestrial vegetation of California</w:t>
      </w:r>
      <w:r w:rsidRPr="00F706AB">
        <w:rPr>
          <w:sz w:val="20"/>
        </w:rPr>
        <w:t xml:space="preserve">.  Wiley Interscience, </w:t>
      </w:r>
      <w:smartTag w:uri="urn:schemas-microsoft-com:office:smarttags" w:element="place">
        <w:smartTag w:uri="urn:schemas-microsoft-com:office:smarttags" w:element="City">
          <w:r w:rsidRPr="00F706AB">
            <w:rPr>
              <w:sz w:val="20"/>
            </w:rPr>
            <w:t>New York</w:t>
          </w:r>
        </w:smartTag>
        <w:r w:rsidRPr="00F706AB">
          <w:rPr>
            <w:sz w:val="20"/>
          </w:rPr>
          <w:t xml:space="preserve">, </w:t>
        </w:r>
        <w:smartTag w:uri="urn:schemas-microsoft-com:office:smarttags" w:element="State">
          <w:r w:rsidRPr="00F706AB">
            <w:rPr>
              <w:sz w:val="20"/>
            </w:rPr>
            <w:t>New York</w:t>
          </w:r>
        </w:smartTag>
      </w:smartTag>
      <w:r w:rsidRPr="00F706AB">
        <w:rPr>
          <w:sz w:val="20"/>
        </w:rPr>
        <w:t>.  1002 pp.</w:t>
      </w:r>
    </w:p>
    <w:p w:rsidR="00F706AB" w:rsidRPr="00F706AB" w:rsidRDefault="00F706AB" w:rsidP="00F706AB">
      <w:pPr>
        <w:jc w:val="left"/>
        <w:rPr>
          <w:sz w:val="20"/>
        </w:rPr>
      </w:pPr>
    </w:p>
    <w:p w:rsidR="00F706AB" w:rsidRPr="00F706AB" w:rsidRDefault="00F706AB" w:rsidP="00F706AB">
      <w:pPr>
        <w:jc w:val="left"/>
        <w:rPr>
          <w:sz w:val="20"/>
        </w:rPr>
      </w:pPr>
      <w:r w:rsidRPr="00F706AB">
        <w:rPr>
          <w:sz w:val="20"/>
        </w:rPr>
        <w:t xml:space="preserve">Olson, D. 1974.  </w:t>
      </w:r>
      <w:r w:rsidRPr="00F706AB">
        <w:rPr>
          <w:i/>
          <w:sz w:val="20"/>
        </w:rPr>
        <w:t>Quercus L. oak</w:t>
      </w:r>
      <w:r w:rsidRPr="00F706AB">
        <w:rPr>
          <w:sz w:val="20"/>
        </w:rPr>
        <w:t xml:space="preserve">.  pp. 692-703.  IN C. Schopmeyer (ed.).  </w:t>
      </w:r>
      <w:r w:rsidRPr="00F706AB">
        <w:rPr>
          <w:i/>
          <w:sz w:val="20"/>
        </w:rPr>
        <w:t>Seeds of woody plants in the United States</w:t>
      </w:r>
      <w:r w:rsidRPr="00F706AB">
        <w:rPr>
          <w:sz w:val="20"/>
        </w:rPr>
        <w:t xml:space="preserve">.  Agriculture Handbook No. 450.  USDA, Forest Service, </w:t>
      </w:r>
      <w:smartTag w:uri="urn:schemas-microsoft-com:office:smarttags" w:element="place">
        <w:smartTag w:uri="urn:schemas-microsoft-com:office:smarttags" w:element="City">
          <w:r w:rsidRPr="00F706AB">
            <w:rPr>
              <w:sz w:val="20"/>
            </w:rPr>
            <w:t>Washington</w:t>
          </w:r>
        </w:smartTag>
        <w:r w:rsidRPr="00F706AB">
          <w:rPr>
            <w:sz w:val="20"/>
          </w:rPr>
          <w:t xml:space="preserve">, </w:t>
        </w:r>
        <w:smartTag w:uri="urn:schemas-microsoft-com:office:smarttags" w:element="State">
          <w:r w:rsidRPr="00F706AB">
            <w:rPr>
              <w:sz w:val="20"/>
            </w:rPr>
            <w:t>D.C.</w:t>
          </w:r>
        </w:smartTag>
      </w:smartTag>
    </w:p>
    <w:p w:rsidR="00F706AB" w:rsidRPr="00F706AB" w:rsidRDefault="00F706AB" w:rsidP="00F706AB">
      <w:pPr>
        <w:jc w:val="left"/>
        <w:rPr>
          <w:sz w:val="20"/>
        </w:rPr>
      </w:pPr>
    </w:p>
    <w:p w:rsidR="00F706AB" w:rsidRPr="00F706AB" w:rsidRDefault="00F706AB" w:rsidP="00F706AB">
      <w:pPr>
        <w:jc w:val="left"/>
        <w:rPr>
          <w:sz w:val="20"/>
        </w:rPr>
      </w:pPr>
      <w:r w:rsidRPr="00F706AB">
        <w:rPr>
          <w:sz w:val="20"/>
        </w:rPr>
        <w:t xml:space="preserve">Thilenius, J. 1968. The </w:t>
      </w:r>
      <w:r w:rsidRPr="00F706AB">
        <w:rPr>
          <w:i/>
          <w:sz w:val="20"/>
        </w:rPr>
        <w:t>Quercus garryana</w:t>
      </w:r>
      <w:r w:rsidRPr="00F706AB">
        <w:rPr>
          <w:sz w:val="20"/>
        </w:rPr>
        <w:t xml:space="preserve"> forests of the Willamette Valley, Oregon. Ecology 49: 1124-1133.</w:t>
      </w:r>
    </w:p>
    <w:p w:rsidR="00F706AB" w:rsidRPr="00F706AB" w:rsidRDefault="00F706AB" w:rsidP="00F706AB">
      <w:pPr>
        <w:jc w:val="left"/>
        <w:rPr>
          <w:sz w:val="20"/>
        </w:rPr>
      </w:pPr>
    </w:p>
    <w:p w:rsidR="00F706AB" w:rsidRPr="00F706AB" w:rsidRDefault="00F706AB" w:rsidP="00F706AB">
      <w:pPr>
        <w:jc w:val="left"/>
        <w:rPr>
          <w:sz w:val="20"/>
        </w:rPr>
      </w:pPr>
      <w:r w:rsidRPr="00F706AB">
        <w:rPr>
          <w:sz w:val="20"/>
        </w:rPr>
        <w:t xml:space="preserve">USDA, NRCS 2000.  </w:t>
      </w:r>
      <w:r w:rsidRPr="00F706AB">
        <w:rPr>
          <w:i/>
          <w:sz w:val="20"/>
        </w:rPr>
        <w:t>The PLANTS database</w:t>
      </w:r>
      <w:r w:rsidRPr="00F706AB">
        <w:rPr>
          <w:sz w:val="20"/>
        </w:rPr>
        <w:t xml:space="preserve">.  Version: 000502.  &lt;http://plants.usda.gov&gt;.  </w:t>
      </w:r>
      <w:smartTag w:uri="urn:schemas-microsoft-com:office:smarttags" w:element="PlaceName">
        <w:r w:rsidRPr="00F706AB">
          <w:rPr>
            <w:sz w:val="20"/>
          </w:rPr>
          <w:t>National</w:t>
        </w:r>
      </w:smartTag>
      <w:r w:rsidRPr="00F706AB">
        <w:rPr>
          <w:sz w:val="20"/>
        </w:rPr>
        <w:t xml:space="preserve"> </w:t>
      </w:r>
      <w:smartTag w:uri="urn:schemas-microsoft-com:office:smarttags" w:element="PlaceName">
        <w:r w:rsidRPr="00F706AB">
          <w:rPr>
            <w:sz w:val="20"/>
          </w:rPr>
          <w:t>Plant</w:t>
        </w:r>
      </w:smartTag>
      <w:r w:rsidRPr="00F706AB">
        <w:rPr>
          <w:sz w:val="20"/>
        </w:rPr>
        <w:t xml:space="preserve"> </w:t>
      </w:r>
      <w:smartTag w:uri="urn:schemas-microsoft-com:office:smarttags" w:element="PlaceName">
        <w:r w:rsidRPr="00F706AB">
          <w:rPr>
            <w:sz w:val="20"/>
          </w:rPr>
          <w:t>Data</w:t>
        </w:r>
      </w:smartTag>
      <w:r w:rsidRPr="00F706AB">
        <w:rPr>
          <w:sz w:val="20"/>
        </w:rPr>
        <w:t xml:space="preserve"> </w:t>
      </w:r>
      <w:smartTag w:uri="urn:schemas-microsoft-com:office:smarttags" w:element="PlaceType">
        <w:r w:rsidRPr="00F706AB">
          <w:rPr>
            <w:sz w:val="20"/>
          </w:rPr>
          <w:t>Center</w:t>
        </w:r>
      </w:smartTag>
      <w:r w:rsidRPr="00F706AB">
        <w:rPr>
          <w:sz w:val="20"/>
        </w:rPr>
        <w:t xml:space="preserve">, </w:t>
      </w:r>
      <w:smartTag w:uri="urn:schemas-microsoft-com:office:smarttags" w:element="place">
        <w:smartTag w:uri="urn:schemas-microsoft-com:office:smarttags" w:element="City">
          <w:r w:rsidRPr="00F706AB">
            <w:rPr>
              <w:sz w:val="20"/>
            </w:rPr>
            <w:t>Baton Rouge</w:t>
          </w:r>
        </w:smartTag>
        <w:r w:rsidRPr="00F706AB">
          <w:rPr>
            <w:sz w:val="20"/>
          </w:rPr>
          <w:t xml:space="preserve">, </w:t>
        </w:r>
        <w:smartTag w:uri="urn:schemas-microsoft-com:office:smarttags" w:element="State">
          <w:r w:rsidRPr="00F706AB">
            <w:rPr>
              <w:sz w:val="20"/>
            </w:rPr>
            <w:t>Louisiana</w:t>
          </w:r>
        </w:smartTag>
      </w:smartTag>
      <w:r w:rsidRPr="00F706AB">
        <w:rPr>
          <w:sz w:val="20"/>
        </w:rPr>
        <w:t>.</w:t>
      </w:r>
    </w:p>
    <w:p w:rsidR="00F706AB" w:rsidRPr="00F706AB" w:rsidRDefault="00F706AB" w:rsidP="00F706AB">
      <w:pPr>
        <w:jc w:val="left"/>
        <w:rPr>
          <w:sz w:val="20"/>
        </w:rPr>
      </w:pPr>
    </w:p>
    <w:p w:rsidR="00F706AB" w:rsidRPr="00F706AB" w:rsidRDefault="00F706AB" w:rsidP="00F706AB">
      <w:pPr>
        <w:pStyle w:val="Heading1"/>
        <w:jc w:val="left"/>
      </w:pPr>
      <w:r w:rsidRPr="00F706AB">
        <w:t>Prepared By</w:t>
      </w:r>
    </w:p>
    <w:p w:rsidR="00F706AB" w:rsidRPr="00F706AB" w:rsidRDefault="00F706AB" w:rsidP="00F706AB">
      <w:pPr>
        <w:jc w:val="left"/>
        <w:rPr>
          <w:i/>
          <w:sz w:val="20"/>
        </w:rPr>
      </w:pPr>
      <w:r w:rsidRPr="00F706AB">
        <w:rPr>
          <w:i/>
          <w:sz w:val="20"/>
        </w:rPr>
        <w:t>Dieter Wilken &amp; Julie Burgher</w:t>
      </w:r>
    </w:p>
    <w:p w:rsidR="00F706AB" w:rsidRPr="00F706AB" w:rsidRDefault="00F706AB" w:rsidP="00F706AB">
      <w:pPr>
        <w:jc w:val="left"/>
        <w:rPr>
          <w:sz w:val="20"/>
        </w:rPr>
      </w:pPr>
      <w:smartTag w:uri="urn:schemas-microsoft-com:office:smarttags" w:element="PlaceName">
        <w:r w:rsidRPr="00F706AB">
          <w:rPr>
            <w:sz w:val="20"/>
          </w:rPr>
          <w:t>Santa Barbara</w:t>
        </w:r>
      </w:smartTag>
      <w:r w:rsidRPr="00F706AB">
        <w:rPr>
          <w:sz w:val="20"/>
        </w:rPr>
        <w:t xml:space="preserve"> </w:t>
      </w:r>
      <w:smartTag w:uri="urn:schemas-microsoft-com:office:smarttags" w:element="PlaceType">
        <w:r w:rsidRPr="00F706AB">
          <w:rPr>
            <w:sz w:val="20"/>
          </w:rPr>
          <w:t>Botanic Garden</w:t>
        </w:r>
      </w:smartTag>
      <w:r w:rsidRPr="00F706AB">
        <w:rPr>
          <w:sz w:val="20"/>
        </w:rPr>
        <w:t xml:space="preserve">, </w:t>
      </w:r>
      <w:smartTag w:uri="urn:schemas-microsoft-com:office:smarttags" w:element="place">
        <w:smartTag w:uri="urn:schemas-microsoft-com:office:smarttags" w:element="City">
          <w:r w:rsidRPr="00F706AB">
            <w:rPr>
              <w:sz w:val="20"/>
            </w:rPr>
            <w:t>Santa Barbara</w:t>
          </w:r>
        </w:smartTag>
        <w:r w:rsidRPr="00F706AB">
          <w:rPr>
            <w:sz w:val="20"/>
          </w:rPr>
          <w:t xml:space="preserve">, </w:t>
        </w:r>
        <w:smartTag w:uri="urn:schemas-microsoft-com:office:smarttags" w:element="State">
          <w:r w:rsidRPr="00F706AB">
            <w:rPr>
              <w:sz w:val="20"/>
            </w:rPr>
            <w:t>California</w:t>
          </w:r>
        </w:smartTag>
      </w:smartTag>
    </w:p>
    <w:p w:rsidR="00F706AB" w:rsidRPr="00F706AB" w:rsidRDefault="00F706AB" w:rsidP="00F706AB">
      <w:pPr>
        <w:jc w:val="left"/>
        <w:rPr>
          <w:sz w:val="20"/>
        </w:rPr>
      </w:pPr>
    </w:p>
    <w:p w:rsidR="00F706AB" w:rsidRPr="00F706AB" w:rsidRDefault="00F706AB" w:rsidP="00F706AB">
      <w:pPr>
        <w:pStyle w:val="Heading1"/>
        <w:jc w:val="left"/>
      </w:pPr>
      <w:r w:rsidRPr="00F706AB">
        <w:t>Species Coordinator</w:t>
      </w:r>
    </w:p>
    <w:p w:rsidR="00F706AB" w:rsidRPr="00F706AB" w:rsidRDefault="00F706AB" w:rsidP="00F706AB">
      <w:pPr>
        <w:jc w:val="left"/>
        <w:rPr>
          <w:i/>
          <w:sz w:val="20"/>
        </w:rPr>
      </w:pPr>
      <w:r w:rsidRPr="00F706AB">
        <w:rPr>
          <w:i/>
          <w:sz w:val="20"/>
        </w:rPr>
        <w:t>Dieter Wilken</w:t>
      </w:r>
    </w:p>
    <w:p w:rsidR="00F706AB" w:rsidRPr="00F706AB" w:rsidRDefault="00F706AB" w:rsidP="00F706AB">
      <w:pPr>
        <w:jc w:val="left"/>
        <w:rPr>
          <w:sz w:val="20"/>
        </w:rPr>
      </w:pPr>
      <w:smartTag w:uri="urn:schemas-microsoft-com:office:smarttags" w:element="PlaceName">
        <w:r w:rsidRPr="00F706AB">
          <w:rPr>
            <w:sz w:val="20"/>
          </w:rPr>
          <w:t>Santa Barbara</w:t>
        </w:r>
      </w:smartTag>
      <w:r w:rsidRPr="00F706AB">
        <w:rPr>
          <w:sz w:val="20"/>
        </w:rPr>
        <w:t xml:space="preserve"> </w:t>
      </w:r>
      <w:smartTag w:uri="urn:schemas-microsoft-com:office:smarttags" w:element="PlaceType">
        <w:r w:rsidRPr="00F706AB">
          <w:rPr>
            <w:sz w:val="20"/>
          </w:rPr>
          <w:t>Botanic Garden</w:t>
        </w:r>
      </w:smartTag>
      <w:r w:rsidRPr="00F706AB">
        <w:rPr>
          <w:sz w:val="20"/>
        </w:rPr>
        <w:t xml:space="preserve">, </w:t>
      </w:r>
      <w:smartTag w:uri="urn:schemas-microsoft-com:office:smarttags" w:element="place">
        <w:smartTag w:uri="urn:schemas-microsoft-com:office:smarttags" w:element="City">
          <w:r w:rsidRPr="00F706AB">
            <w:rPr>
              <w:sz w:val="20"/>
            </w:rPr>
            <w:t>Santa Barbara</w:t>
          </w:r>
        </w:smartTag>
        <w:r w:rsidRPr="00F706AB">
          <w:rPr>
            <w:sz w:val="20"/>
          </w:rPr>
          <w:t xml:space="preserve">, </w:t>
        </w:r>
        <w:smartTag w:uri="urn:schemas-microsoft-com:office:smarttags" w:element="State">
          <w:r w:rsidRPr="00F706AB">
            <w:rPr>
              <w:sz w:val="20"/>
            </w:rPr>
            <w:t>California</w:t>
          </w:r>
        </w:smartTag>
      </w:smartTag>
    </w:p>
    <w:p w:rsidR="00F706AB" w:rsidRPr="00F706AB" w:rsidRDefault="00F706AB" w:rsidP="00F706AB">
      <w:pPr>
        <w:jc w:val="left"/>
        <w:rPr>
          <w:sz w:val="20"/>
        </w:rPr>
      </w:pPr>
      <w:r w:rsidRPr="00F706AB">
        <w:rPr>
          <w:sz w:val="20"/>
        </w:rPr>
        <w:t>Email: dwilken@sbbg.org</w:t>
      </w:r>
    </w:p>
    <w:p w:rsidR="00F706AB" w:rsidRDefault="00F706AB" w:rsidP="00F706AB"/>
    <w:p w:rsidR="00F706AB" w:rsidRPr="00F706AB" w:rsidRDefault="00F706AB" w:rsidP="00F706AB">
      <w:pPr>
        <w:jc w:val="left"/>
        <w:rPr>
          <w:sz w:val="16"/>
          <w:szCs w:val="16"/>
        </w:rPr>
      </w:pPr>
      <w:r w:rsidRPr="00F706AB">
        <w:rPr>
          <w:sz w:val="16"/>
          <w:szCs w:val="16"/>
        </w:rPr>
        <w:t>Edited 02may00 jsp; 13feb03 ahv; 060809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4F4D" w:rsidRDefault="00C14F4D">
      <w:r>
        <w:separator/>
      </w:r>
    </w:p>
  </w:endnote>
  <w:endnote w:type="continuationSeparator" w:id="0">
    <w:p w:rsidR="00C14F4D" w:rsidRDefault="00C14F4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4F4D" w:rsidRDefault="00C14F4D">
      <w:r>
        <w:separator/>
      </w:r>
    </w:p>
  </w:footnote>
  <w:footnote w:type="continuationSeparator" w:id="0">
    <w:p w:rsidR="00C14F4D" w:rsidRDefault="00C14F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B25E9C">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1F7E45"/>
    <w:rsid w:val="002148DF"/>
    <w:rsid w:val="00222F37"/>
    <w:rsid w:val="002375B8"/>
    <w:rsid w:val="0026727E"/>
    <w:rsid w:val="002C45BA"/>
    <w:rsid w:val="00303F61"/>
    <w:rsid w:val="0036701D"/>
    <w:rsid w:val="003749B3"/>
    <w:rsid w:val="00377934"/>
    <w:rsid w:val="00395D33"/>
    <w:rsid w:val="003C2949"/>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0DCE"/>
    <w:rsid w:val="00592CFA"/>
    <w:rsid w:val="005A2740"/>
    <w:rsid w:val="005E45C3"/>
    <w:rsid w:val="005F57D8"/>
    <w:rsid w:val="0061608E"/>
    <w:rsid w:val="006333FE"/>
    <w:rsid w:val="0064486F"/>
    <w:rsid w:val="00660D73"/>
    <w:rsid w:val="006B4B3E"/>
    <w:rsid w:val="00712AC4"/>
    <w:rsid w:val="00756FD2"/>
    <w:rsid w:val="007A3680"/>
    <w:rsid w:val="007F3743"/>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25E9C"/>
    <w:rsid w:val="00B755F2"/>
    <w:rsid w:val="00B76A82"/>
    <w:rsid w:val="00B841F9"/>
    <w:rsid w:val="00B8425D"/>
    <w:rsid w:val="00BA0E82"/>
    <w:rsid w:val="00BD616F"/>
    <w:rsid w:val="00BE5356"/>
    <w:rsid w:val="00BF44A8"/>
    <w:rsid w:val="00C14F4D"/>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06AB"/>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OREGON OAK</vt:lpstr>
    </vt:vector>
  </TitlesOfParts>
  <Company>USDA NRCS National Plant Data Center</Company>
  <LinksUpToDate>false</LinksUpToDate>
  <CharactersWithSpaces>9211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OREGON OAK</dc:title>
  <dc:subject>Quercus garryana Dougl. ex Hook.</dc:subject>
  <dc:creator>J. Scott Peterson</dc:creator>
  <cp:keywords/>
  <cp:lastModifiedBy>William Farrell</cp:lastModifiedBy>
  <cp:revision>2</cp:revision>
  <cp:lastPrinted>2003-06-09T21:39:00Z</cp:lastPrinted>
  <dcterms:created xsi:type="dcterms:W3CDTF">2011-01-25T23:52:00Z</dcterms:created>
  <dcterms:modified xsi:type="dcterms:W3CDTF">2011-01-25T23:52:00Z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