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133BB" w:rsidP="00E9203C">
      <w:pPr>
        <w:pStyle w:val="Heading1"/>
      </w:pPr>
      <w:r>
        <w:lastRenderedPageBreak/>
        <w:t>scarlet globemallow</w:t>
      </w:r>
    </w:p>
    <w:p w:rsidR="007133BB" w:rsidRDefault="007133BB" w:rsidP="006A29CA">
      <w:pPr>
        <w:pStyle w:val="PlantSymbol"/>
      </w:pPr>
      <w:proofErr w:type="spellStart"/>
      <w:proofErr w:type="gramStart"/>
      <w:r w:rsidRPr="007133BB">
        <w:rPr>
          <w:b/>
          <w:i/>
          <w:sz w:val="32"/>
          <w:szCs w:val="32"/>
        </w:rPr>
        <w:t>Sphaeralcea</w:t>
      </w:r>
      <w:proofErr w:type="spellEnd"/>
      <w:r w:rsidRPr="007133BB">
        <w:rPr>
          <w:b/>
          <w:i/>
          <w:sz w:val="32"/>
          <w:szCs w:val="32"/>
        </w:rPr>
        <w:t xml:space="preserve"> </w:t>
      </w:r>
      <w:proofErr w:type="spellStart"/>
      <w:r w:rsidRPr="007133BB">
        <w:rPr>
          <w:b/>
          <w:i/>
          <w:sz w:val="32"/>
          <w:szCs w:val="32"/>
        </w:rPr>
        <w:t>coccinea</w:t>
      </w:r>
      <w:proofErr w:type="spellEnd"/>
      <w:r w:rsidRPr="007133BB">
        <w:rPr>
          <w:b/>
          <w:sz w:val="32"/>
          <w:szCs w:val="32"/>
        </w:rPr>
        <w:t xml:space="preserve"> (Nutt.)</w:t>
      </w:r>
      <w:proofErr w:type="gramEnd"/>
      <w:r w:rsidRPr="007133BB">
        <w:rPr>
          <w:b/>
          <w:sz w:val="32"/>
          <w:szCs w:val="32"/>
        </w:rPr>
        <w:t xml:space="preserve"> </w:t>
      </w:r>
      <w:proofErr w:type="spellStart"/>
      <w:proofErr w:type="gramStart"/>
      <w:r w:rsidRPr="007133BB">
        <w:rPr>
          <w:b/>
          <w:sz w:val="32"/>
          <w:szCs w:val="32"/>
        </w:rPr>
        <w:t>Rydb</w:t>
      </w:r>
      <w:proofErr w:type="spellEnd"/>
      <w:r w:rsidRPr="007133BB">
        <w:rPr>
          <w:b/>
          <w:sz w:val="32"/>
          <w:szCs w:val="32"/>
        </w:rPr>
        <w:t>.</w:t>
      </w:r>
      <w:proofErr w:type="gramEnd"/>
    </w:p>
    <w:p w:rsidR="00614036" w:rsidRPr="00A90532" w:rsidRDefault="00614036" w:rsidP="006A29CA">
      <w:pPr>
        <w:pStyle w:val="PlantSymbol"/>
      </w:pPr>
      <w:r w:rsidRPr="00A90532">
        <w:t xml:space="preserve">Symbol = </w:t>
      </w:r>
      <w:r w:rsidR="007133BB">
        <w:t>SPCO</w:t>
      </w:r>
    </w:p>
    <w:p w:rsidR="007133BB" w:rsidRDefault="007133BB" w:rsidP="007133BB">
      <w:pPr>
        <w:pStyle w:val="Header2"/>
      </w:pPr>
      <w:r>
        <w:t xml:space="preserve">Contributed by: </w:t>
      </w:r>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w:t>
      </w:r>
      <w:smartTag w:uri="urn:schemas-microsoft-com:office:smarttags" w:element="place">
        <w:smartTag w:uri="urn:schemas-microsoft-com:office:smarttags" w:element="PlaceName">
          <w:r>
            <w:t>Idaho</w:t>
          </w:r>
        </w:smartTag>
        <w:r>
          <w:t xml:space="preserve"> </w:t>
        </w:r>
        <w:smartTag w:uri="urn:schemas-microsoft-com:office:smarttags" w:element="PlaceName">
          <w:r>
            <w:t>NRCS</w:t>
          </w:r>
        </w:smartTag>
        <w:r>
          <w:t xml:space="preserve"> </w:t>
        </w:r>
        <w:smartTag w:uri="urn:schemas-microsoft-com:office:smarttags" w:element="PlaceType">
          <w:r>
            <w:t>State</w:t>
          </w:r>
        </w:smartTag>
      </w:smartTag>
      <w:r>
        <w:t xml:space="preserve"> Office</w:t>
      </w:r>
    </w:p>
    <w:p w:rsidR="007133BB" w:rsidRDefault="007133BB" w:rsidP="007133BB">
      <w:pPr>
        <w:pStyle w:val="Header2"/>
        <w:spacing w:before="120"/>
      </w:pPr>
      <w:r>
        <w:rPr>
          <w:noProof/>
        </w:rPr>
        <w:drawing>
          <wp:inline distT="0" distB="0" distL="0" distR="0">
            <wp:extent cx="2514600" cy="3537585"/>
            <wp:effectExtent l="19050" t="0" r="0" b="0"/>
            <wp:docPr id="9" name="Picture 9" descr="Scarlet globemallow (Joy Viola, Northeastern University, Bugwoo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rlet globemallow (Joy Viola, Northeastern University, Bugwood.org)"/>
                    <pic:cNvPicPr>
                      <a:picLocks noChangeAspect="1" noChangeArrowheads="1"/>
                    </pic:cNvPicPr>
                  </pic:nvPicPr>
                  <pic:blipFill>
                    <a:blip r:embed="rId10" cstate="print"/>
                    <a:srcRect/>
                    <a:stretch>
                      <a:fillRect/>
                    </a:stretch>
                  </pic:blipFill>
                  <pic:spPr bwMode="auto">
                    <a:xfrm>
                      <a:off x="0" y="0"/>
                      <a:ext cx="2514600" cy="3537585"/>
                    </a:xfrm>
                    <a:prstGeom prst="rect">
                      <a:avLst/>
                    </a:prstGeom>
                    <a:noFill/>
                    <a:ln w="9525">
                      <a:noFill/>
                      <a:miter lim="800000"/>
                      <a:headEnd/>
                      <a:tailEnd/>
                    </a:ln>
                  </pic:spPr>
                </pic:pic>
              </a:graphicData>
            </a:graphic>
          </wp:inline>
        </w:drawing>
      </w:r>
    </w:p>
    <w:p w:rsidR="007133BB" w:rsidRPr="00623276" w:rsidRDefault="007133BB" w:rsidP="007133BB">
      <w:pPr>
        <w:pStyle w:val="Header2"/>
        <w:rPr>
          <w:b/>
          <w:i w:val="0"/>
          <w:sz w:val="16"/>
          <w:szCs w:val="16"/>
        </w:rPr>
      </w:pPr>
      <w:r w:rsidRPr="00623276">
        <w:rPr>
          <w:b/>
          <w:i w:val="0"/>
          <w:sz w:val="16"/>
          <w:szCs w:val="16"/>
        </w:rPr>
        <w:t xml:space="preserve">Scarlet </w:t>
      </w:r>
      <w:proofErr w:type="spellStart"/>
      <w:r w:rsidRPr="00623276">
        <w:rPr>
          <w:b/>
          <w:i w:val="0"/>
          <w:sz w:val="16"/>
          <w:szCs w:val="16"/>
        </w:rPr>
        <w:t>globemallow</w:t>
      </w:r>
      <w:proofErr w:type="spellEnd"/>
      <w:r w:rsidRPr="00623276">
        <w:rPr>
          <w:b/>
          <w:i w:val="0"/>
          <w:sz w:val="16"/>
          <w:szCs w:val="16"/>
        </w:rPr>
        <w:t xml:space="preserve"> (Joy Viola, </w:t>
      </w:r>
      <w:smartTag w:uri="urn:schemas-microsoft-com:office:smarttags" w:element="place">
        <w:smartTag w:uri="urn:schemas-microsoft-com:office:smarttags" w:element="PlaceName">
          <w:r w:rsidRPr="00623276">
            <w:rPr>
              <w:b/>
              <w:i w:val="0"/>
              <w:sz w:val="16"/>
              <w:szCs w:val="16"/>
            </w:rPr>
            <w:t>Northeastern</w:t>
          </w:r>
        </w:smartTag>
        <w:r w:rsidRPr="00623276">
          <w:rPr>
            <w:b/>
            <w:i w:val="0"/>
            <w:sz w:val="16"/>
            <w:szCs w:val="16"/>
          </w:rPr>
          <w:t xml:space="preserve"> </w:t>
        </w:r>
        <w:smartTag w:uri="urn:schemas-microsoft-com:office:smarttags" w:element="PlaceType">
          <w:r w:rsidRPr="00623276">
            <w:rPr>
              <w:b/>
              <w:i w:val="0"/>
              <w:sz w:val="16"/>
              <w:szCs w:val="16"/>
            </w:rPr>
            <w:t>University</w:t>
          </w:r>
        </w:smartTag>
      </w:smartTag>
      <w:r w:rsidRPr="00623276">
        <w:rPr>
          <w:b/>
          <w:i w:val="0"/>
          <w:sz w:val="16"/>
          <w:szCs w:val="16"/>
        </w:rPr>
        <w:t>, Bugwood.org)</w:t>
      </w:r>
    </w:p>
    <w:p w:rsidR="007133BB" w:rsidRDefault="007133BB" w:rsidP="007133BB">
      <w:pPr>
        <w:pStyle w:val="Header2"/>
      </w:pPr>
    </w:p>
    <w:p w:rsidR="007133BB" w:rsidRPr="002634EF" w:rsidRDefault="007133BB" w:rsidP="007133BB">
      <w:pPr>
        <w:pStyle w:val="Header2"/>
        <w:rPr>
          <w:b/>
          <w:i w:val="0"/>
        </w:rPr>
      </w:pPr>
      <w:r w:rsidRPr="002634EF">
        <w:rPr>
          <w:b/>
          <w:i w:val="0"/>
        </w:rPr>
        <w:t>Alternate Names</w:t>
      </w:r>
    </w:p>
    <w:p w:rsidR="007133BB" w:rsidRDefault="007133BB" w:rsidP="007133BB">
      <w:pPr>
        <w:pStyle w:val="Bodytext0"/>
      </w:pPr>
      <w:r>
        <w:t>Red false mallow, copper mallow, cowboy’s delight</w:t>
      </w:r>
    </w:p>
    <w:p w:rsidR="007133BB" w:rsidRDefault="007133BB" w:rsidP="007133BB">
      <w:pPr>
        <w:pStyle w:val="Bodytext0"/>
      </w:pPr>
    </w:p>
    <w:p w:rsidR="007133BB" w:rsidRDefault="007133BB" w:rsidP="007133BB">
      <w:pPr>
        <w:pStyle w:val="Header3"/>
      </w:pPr>
      <w:r>
        <w:t>Uses</w:t>
      </w:r>
    </w:p>
    <w:p w:rsidR="007133BB" w:rsidRDefault="007133BB" w:rsidP="007133BB">
      <w:pPr>
        <w:pStyle w:val="Bodytext0"/>
      </w:pPr>
      <w:r>
        <w:t xml:space="preserve">Scarlet </w:t>
      </w:r>
      <w:proofErr w:type="spellStart"/>
      <w:r>
        <w:t>globemallow</w:t>
      </w:r>
      <w:proofErr w:type="spellEnd"/>
      <w:r>
        <w:t xml:space="preserve"> provides good ground cover on disturbed sites.  Although its value for erosion control is low to moderate, it is used in low rainfall area native seed mixtures to stabilize roadsides and other disturbed sites.  Livestock commonly eat scarlet </w:t>
      </w:r>
      <w:proofErr w:type="spellStart"/>
      <w:r>
        <w:t>globemallow</w:t>
      </w:r>
      <w:proofErr w:type="spellEnd"/>
      <w:r>
        <w:t xml:space="preserve"> particularly when grasses are dormant.  It provides important forage for pronghorn antelope; is rated as excellent forage for domestic sheep, deer, and bighorn sheep.  Bison, prairie dogs, jack rabbits, and other small mammals utilize this species for forage.  Some small birds eat scarlet </w:t>
      </w:r>
      <w:proofErr w:type="spellStart"/>
      <w:r>
        <w:t>globemallow</w:t>
      </w:r>
      <w:proofErr w:type="spellEnd"/>
      <w:r>
        <w:t xml:space="preserve"> fruits.  Palatability is rated poor to good depending on the animal species, location, and season of </w:t>
      </w:r>
      <w:r>
        <w:lastRenderedPageBreak/>
        <w:t>use.  Palatability is generally rated fair for cattle and elk and poor for horses.</w:t>
      </w:r>
    </w:p>
    <w:p w:rsidR="007133BB" w:rsidRDefault="007133BB" w:rsidP="007133BB">
      <w:pPr>
        <w:pStyle w:val="Bodytext0"/>
      </w:pPr>
    </w:p>
    <w:p w:rsidR="007133BB" w:rsidRDefault="007133BB" w:rsidP="007133BB">
      <w:pPr>
        <w:pStyle w:val="Header3"/>
      </w:pPr>
      <w:bookmarkStart w:id="0" w:name="OLE_LINK1"/>
      <w:r>
        <w:t>Status</w:t>
      </w:r>
    </w:p>
    <w:p w:rsidR="007133BB" w:rsidRDefault="007133BB" w:rsidP="007133BB">
      <w:pPr>
        <w:pStyle w:val="Bodytext0"/>
      </w:pPr>
      <w:r>
        <w:t>Consult the PLANTS Website and your State Department of Natural Resources for this plant’s current status (e.g. state noxious status).</w:t>
      </w:r>
    </w:p>
    <w:p w:rsidR="007133BB" w:rsidRDefault="007133BB" w:rsidP="007133BB">
      <w:pPr>
        <w:pStyle w:val="Bodytext0"/>
      </w:pPr>
    </w:p>
    <w:bookmarkEnd w:id="0"/>
    <w:p w:rsidR="007133BB" w:rsidRDefault="007133BB" w:rsidP="007133BB">
      <w:pPr>
        <w:pStyle w:val="Header3"/>
      </w:pPr>
      <w:r>
        <w:t>Description</w:t>
      </w:r>
    </w:p>
    <w:p w:rsidR="007133BB" w:rsidRDefault="007133BB" w:rsidP="007133BB">
      <w:pPr>
        <w:pStyle w:val="Bodytext0"/>
      </w:pPr>
      <w:r>
        <w:rPr>
          <w:i/>
        </w:rPr>
        <w:t>General</w:t>
      </w:r>
      <w:r>
        <w:t>: Mallow Family (</w:t>
      </w:r>
      <w:proofErr w:type="spellStart"/>
      <w:r>
        <w:t>Malvaceae</w:t>
      </w:r>
      <w:proofErr w:type="spellEnd"/>
      <w:r>
        <w:t xml:space="preserve">). </w:t>
      </w:r>
    </w:p>
    <w:p w:rsidR="007133BB" w:rsidRDefault="007133BB" w:rsidP="007133BB">
      <w:pPr>
        <w:pStyle w:val="Bodytext0"/>
      </w:pPr>
      <w:r>
        <w:t xml:space="preserve">Scarlet </w:t>
      </w:r>
      <w:proofErr w:type="spellStart"/>
      <w:r>
        <w:t>globemallow</w:t>
      </w:r>
      <w:proofErr w:type="spellEnd"/>
      <w:r>
        <w:t xml:space="preserve"> is a low-spreading, warm season, long-lived perennial </w:t>
      </w:r>
      <w:proofErr w:type="spellStart"/>
      <w:r>
        <w:t>forb</w:t>
      </w:r>
      <w:proofErr w:type="spellEnd"/>
      <w:r>
        <w:t xml:space="preserve"> to half-shrub.  Stems emerge from a woody </w:t>
      </w:r>
      <w:proofErr w:type="spellStart"/>
      <w:r>
        <w:t>caudex</w:t>
      </w:r>
      <w:proofErr w:type="spellEnd"/>
      <w:r>
        <w:t xml:space="preserve"> located just under the soil surface and reach a height of 10-40 cm (4-16 inches).  Plants are densely covered with </w:t>
      </w:r>
      <w:proofErr w:type="spellStart"/>
      <w:r>
        <w:t>stellate</w:t>
      </w:r>
      <w:proofErr w:type="spellEnd"/>
      <w:r>
        <w:t xml:space="preserve"> hairs.  Leaves are alternate, </w:t>
      </w:r>
      <w:proofErr w:type="spellStart"/>
      <w:r>
        <w:t>palmately</w:t>
      </w:r>
      <w:proofErr w:type="spellEnd"/>
      <w:r>
        <w:t xml:space="preserve"> lobed, 1-3.7 cm long and 1-5cm wide.  The deep orange to pinkish colored flowers are clustered in dense, short racemes.  There are 5 distinct petals, 5 united sepals, and 5 to numerous styles.  Stamens are joined by their stalks into a tube and several pistils united in a ring.  The fruit is an indehiscent schizocarp with 1-seeded </w:t>
      </w:r>
      <w:proofErr w:type="spellStart"/>
      <w:r>
        <w:t>carpels</w:t>
      </w:r>
      <w:proofErr w:type="spellEnd"/>
      <w:r>
        <w:t>.  Plants are rhizomatous.  The main taproot is woody and stout and may remain un-branched for 3 feet (90cm) before it divides into lateral roots.  Growth begins in March and April, flowering in May to July and seed matures unevenly between July and August throughout much of its range.  There are approximately 500,000 seeds per pound.  The seed has a hard seed coat.</w:t>
      </w:r>
    </w:p>
    <w:p w:rsidR="007133BB" w:rsidRPr="00C94D76" w:rsidRDefault="007133BB" w:rsidP="007133BB">
      <w:pPr>
        <w:pStyle w:val="Bodytext0"/>
        <w:jc w:val="center"/>
        <w:rPr>
          <w:b/>
          <w:sz w:val="16"/>
          <w:szCs w:val="16"/>
        </w:rPr>
      </w:pPr>
      <w:r>
        <w:rPr>
          <w:b/>
          <w:noProof/>
          <w:sz w:val="16"/>
          <w:szCs w:val="16"/>
        </w:rPr>
        <w:drawing>
          <wp:anchor distT="0" distB="0" distL="114300" distR="114300" simplePos="0" relativeHeight="251661312" behindDoc="1" locked="0" layoutInCell="1" allowOverlap="1">
            <wp:simplePos x="0" y="0"/>
            <wp:positionH relativeFrom="column">
              <wp:posOffset>51435</wp:posOffset>
            </wp:positionH>
            <wp:positionV relativeFrom="paragraph">
              <wp:posOffset>64770</wp:posOffset>
            </wp:positionV>
            <wp:extent cx="2736850" cy="2860040"/>
            <wp:effectExtent l="19050" t="0" r="6350" b="0"/>
            <wp:wrapSquare wrapText="bothSides"/>
            <wp:docPr id="5" name="Picture 5" descr="National Park Service photo of globemallow blossom by Jim Pisar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Park Service photo by Jim Pisarowicz"/>
                    <pic:cNvPicPr>
                      <a:picLocks noChangeAspect="1" noChangeArrowheads="1"/>
                    </pic:cNvPicPr>
                  </pic:nvPicPr>
                  <pic:blipFill>
                    <a:blip r:embed="rId11" cstate="print"/>
                    <a:srcRect t="9085" b="14241"/>
                    <a:stretch>
                      <a:fillRect/>
                    </a:stretch>
                  </pic:blipFill>
                  <pic:spPr bwMode="auto">
                    <a:xfrm>
                      <a:off x="0" y="0"/>
                      <a:ext cx="2736850" cy="2860040"/>
                    </a:xfrm>
                    <a:prstGeom prst="rect">
                      <a:avLst/>
                    </a:prstGeom>
                    <a:noFill/>
                    <a:ln w="9525">
                      <a:noFill/>
                      <a:miter lim="800000"/>
                      <a:headEnd/>
                      <a:tailEnd/>
                    </a:ln>
                  </pic:spPr>
                </pic:pic>
              </a:graphicData>
            </a:graphic>
          </wp:anchor>
        </w:drawing>
      </w:r>
      <w:r w:rsidRPr="00C94D76">
        <w:rPr>
          <w:b/>
          <w:sz w:val="16"/>
          <w:szCs w:val="16"/>
        </w:rPr>
        <w:t>National Park Se</w:t>
      </w:r>
      <w:r>
        <w:rPr>
          <w:b/>
          <w:sz w:val="16"/>
          <w:szCs w:val="16"/>
        </w:rPr>
        <w:t>r</w:t>
      </w:r>
      <w:r w:rsidRPr="00C94D76">
        <w:rPr>
          <w:b/>
          <w:sz w:val="16"/>
          <w:szCs w:val="16"/>
        </w:rPr>
        <w:t xml:space="preserve">vice photo by Jim </w:t>
      </w:r>
      <w:proofErr w:type="spellStart"/>
      <w:r w:rsidRPr="00C94D76">
        <w:rPr>
          <w:b/>
          <w:sz w:val="16"/>
          <w:szCs w:val="16"/>
        </w:rPr>
        <w:t>Pisarowicz</w:t>
      </w:r>
      <w:proofErr w:type="spellEnd"/>
    </w:p>
    <w:p w:rsidR="007133BB" w:rsidRDefault="007133BB" w:rsidP="007133BB">
      <w:pPr>
        <w:pStyle w:val="Bodytext0"/>
        <w:rPr>
          <w:b/>
        </w:rPr>
      </w:pPr>
    </w:p>
    <w:p w:rsidR="007133BB" w:rsidRDefault="007133BB" w:rsidP="007133BB">
      <w:pPr>
        <w:pStyle w:val="Bodytext0"/>
        <w:rPr>
          <w:b/>
        </w:rPr>
      </w:pPr>
      <w:r w:rsidRPr="00CC10E7">
        <w:rPr>
          <w:b/>
        </w:rPr>
        <w:t>Distribution</w:t>
      </w:r>
    </w:p>
    <w:p w:rsidR="007133BB" w:rsidRDefault="007133BB" w:rsidP="007133BB">
      <w:pPr>
        <w:pStyle w:val="Bodytext0"/>
      </w:pPr>
      <w:r>
        <w:t xml:space="preserve">Scarlet </w:t>
      </w:r>
      <w:proofErr w:type="spellStart"/>
      <w:r>
        <w:t>globemallow</w:t>
      </w:r>
      <w:proofErr w:type="spellEnd"/>
      <w:r>
        <w:t xml:space="preserve"> is most commonly found in the low rainfall areas of the Intermountain West, Great Basin, </w:t>
      </w:r>
      <w:r>
        <w:lastRenderedPageBreak/>
        <w:t xml:space="preserve">Rocky Mountains and Great Plains regions of the </w:t>
      </w:r>
      <w:smartTag w:uri="urn:schemas-microsoft-com:office:smarttags" w:element="country-region">
        <w:r>
          <w:t>United States</w:t>
        </w:r>
      </w:smartTag>
      <w:r>
        <w:t xml:space="preserve"> and </w:t>
      </w:r>
      <w:smartTag w:uri="urn:schemas-microsoft-com:office:smarttags" w:element="country-region">
        <w:smartTag w:uri="urn:schemas-microsoft-com:office:smarttags" w:element="place">
          <w:r>
            <w:t>Canada</w:t>
          </w:r>
        </w:smartTag>
      </w:smartTag>
      <w:r>
        <w:t>.</w:t>
      </w:r>
    </w:p>
    <w:p w:rsidR="007133BB" w:rsidRPr="00CC10E7" w:rsidRDefault="007133BB" w:rsidP="007133BB">
      <w:pPr>
        <w:pStyle w:val="Bodytext0"/>
      </w:pPr>
    </w:p>
    <w:p w:rsidR="007133BB" w:rsidRPr="00EA68BB" w:rsidRDefault="007133BB" w:rsidP="007133BB">
      <w:pPr>
        <w:pStyle w:val="Bodytext0"/>
        <w:rPr>
          <w:b/>
        </w:rPr>
      </w:pPr>
      <w:r w:rsidRPr="00EA68BB">
        <w:rPr>
          <w:b/>
        </w:rPr>
        <w:t>Habitat</w:t>
      </w:r>
    </w:p>
    <w:p w:rsidR="007133BB" w:rsidRPr="00EA68BB" w:rsidRDefault="007133BB" w:rsidP="007133BB">
      <w:pPr>
        <w:pStyle w:val="Bodytext0"/>
        <w:rPr>
          <w:b/>
          <w:i/>
        </w:rPr>
      </w:pPr>
      <w:r w:rsidRPr="00EA68BB">
        <w:t>S</w:t>
      </w:r>
      <w:r>
        <w:t xml:space="preserve">carlet </w:t>
      </w:r>
      <w:proofErr w:type="spellStart"/>
      <w:r>
        <w:t>globemallow</w:t>
      </w:r>
      <w:proofErr w:type="spellEnd"/>
      <w:r>
        <w:t xml:space="preserve"> grows in desert, semi-desert, prairies, grasslands, scrub, </w:t>
      </w:r>
      <w:proofErr w:type="spellStart"/>
      <w:r>
        <w:t>pinyon</w:t>
      </w:r>
      <w:proofErr w:type="spellEnd"/>
      <w:r>
        <w:t xml:space="preserve">-juniper, and sagebrush plant communities and also often on dry roadsides, disturbed areas and dry slopes.  It is adapted to a wide range of soil types from sandy to clay loams to gravelly to alkaline and moderately saline soils, but it is not generally found on </w:t>
      </w:r>
      <w:proofErr w:type="spellStart"/>
      <w:r>
        <w:t>sodic</w:t>
      </w:r>
      <w:proofErr w:type="spellEnd"/>
      <w:r>
        <w:t xml:space="preserve"> soils.  It is extremely drought tolerant and does not tolerate shady conditions.  It grows at elevations from 3,500 to 9,000 feet (1,067-2,743 m).</w:t>
      </w:r>
    </w:p>
    <w:p w:rsidR="007133BB" w:rsidRPr="00CC10E7" w:rsidRDefault="007133BB" w:rsidP="007133BB">
      <w:pPr>
        <w:pStyle w:val="Bodytext0"/>
      </w:pPr>
    </w:p>
    <w:p w:rsidR="007133BB" w:rsidRPr="0056659D" w:rsidRDefault="007133BB" w:rsidP="007133BB">
      <w:pPr>
        <w:pStyle w:val="Header3"/>
      </w:pPr>
      <w:r w:rsidRPr="0056659D">
        <w:t>Adaptation</w:t>
      </w:r>
    </w:p>
    <w:p w:rsidR="007133BB" w:rsidRPr="00CC10E7" w:rsidRDefault="007133BB" w:rsidP="007133BB">
      <w:pPr>
        <w:pStyle w:val="Bodytext0"/>
      </w:pPr>
      <w:r w:rsidRPr="00CC10E7">
        <w:t xml:space="preserve">This species is adapted to well-drained soils with a pH range of 5.0 to 8.0. For </w:t>
      </w:r>
      <w:proofErr w:type="spellStart"/>
      <w:r w:rsidRPr="00CC10E7">
        <w:t>xeriscaping</w:t>
      </w:r>
      <w:proofErr w:type="spellEnd"/>
      <w:r w:rsidRPr="00CC10E7">
        <w:t xml:space="preserve"> and low water</w:t>
      </w:r>
      <w:r>
        <w:t>-use</w:t>
      </w:r>
      <w:r w:rsidRPr="00CC10E7">
        <w:t xml:space="preserve"> gardening, the species is recommended for use in USDA hardiness zones 6-8 in areas receiving </w:t>
      </w:r>
      <w:r>
        <w:t>6</w:t>
      </w:r>
      <w:r w:rsidRPr="00CC10E7">
        <w:t xml:space="preserve"> </w:t>
      </w:r>
      <w:r>
        <w:t>to</w:t>
      </w:r>
      <w:r w:rsidRPr="00CC10E7">
        <w:t xml:space="preserve"> 10 inches or more annual precipitation. </w:t>
      </w:r>
    </w:p>
    <w:p w:rsidR="007133BB" w:rsidRPr="00CC10E7" w:rsidRDefault="007133BB" w:rsidP="007133BB">
      <w:pPr>
        <w:pStyle w:val="Bodytext0"/>
      </w:pPr>
    </w:p>
    <w:p w:rsidR="007133BB" w:rsidRPr="0056659D" w:rsidRDefault="007133BB" w:rsidP="007133BB">
      <w:pPr>
        <w:pStyle w:val="Header3"/>
        <w:rPr>
          <w:rFonts w:ascii="Arial" w:hAnsi="Arial"/>
        </w:rPr>
      </w:pPr>
      <w:r w:rsidRPr="0056659D">
        <w:t>Management</w:t>
      </w:r>
    </w:p>
    <w:p w:rsidR="007133BB" w:rsidRPr="00CC10E7" w:rsidRDefault="007133BB" w:rsidP="007133BB">
      <w:pPr>
        <w:pStyle w:val="Bodytext0"/>
      </w:pPr>
      <w:r w:rsidRPr="00CC10E7">
        <w:t xml:space="preserve">When planted in a native reclamation mix, </w:t>
      </w:r>
      <w:r>
        <w:t xml:space="preserve">scarlet </w:t>
      </w:r>
      <w:proofErr w:type="spellStart"/>
      <w:r>
        <w:t>globemallow</w:t>
      </w:r>
      <w:proofErr w:type="spellEnd"/>
      <w:r w:rsidRPr="00CC10E7">
        <w:t xml:space="preserve"> should be a minor component of the </w:t>
      </w:r>
      <w:r>
        <w:t xml:space="preserve">mixture and </w:t>
      </w:r>
      <w:r w:rsidRPr="00CC10E7">
        <w:t>establishing plant community</w:t>
      </w:r>
      <w:r>
        <w:t>.  T</w:t>
      </w:r>
      <w:r w:rsidRPr="00CC10E7">
        <w:t>herefore</w:t>
      </w:r>
      <w:r>
        <w:t>,</w:t>
      </w:r>
      <w:r w:rsidRPr="00CC10E7">
        <w:t xml:space="preserve"> management should be based on other key species in the </w:t>
      </w:r>
      <w:r>
        <w:t>established plant community</w:t>
      </w:r>
      <w:r w:rsidRPr="00CC10E7">
        <w:t xml:space="preserve">.  Grazing on seeded lands should be deferred for at least two growing seasons to allow </w:t>
      </w:r>
      <w:r>
        <w:t>full stand</w:t>
      </w:r>
      <w:r w:rsidRPr="00CC10E7">
        <w:t xml:space="preserve"> establishment. </w:t>
      </w:r>
    </w:p>
    <w:p w:rsidR="007133BB" w:rsidRPr="00CC10E7" w:rsidRDefault="007133BB" w:rsidP="007133BB">
      <w:pPr>
        <w:pStyle w:val="Bodytext0"/>
      </w:pPr>
    </w:p>
    <w:p w:rsidR="007133BB" w:rsidRPr="0056659D" w:rsidRDefault="007133BB" w:rsidP="007133BB">
      <w:pPr>
        <w:pStyle w:val="Header3"/>
      </w:pPr>
      <w:r w:rsidRPr="00272D48">
        <w:t>Pests and Potential Problems</w:t>
      </w:r>
    </w:p>
    <w:p w:rsidR="007133BB" w:rsidRPr="005977D4" w:rsidRDefault="007133BB" w:rsidP="007133BB">
      <w:pPr>
        <w:pStyle w:val="Bodytext0"/>
      </w:pPr>
      <w:r w:rsidRPr="00CC10E7">
        <w:t>I</w:t>
      </w:r>
      <w:r>
        <w:t xml:space="preserve">nformation on pests and potential problems of scarlet </w:t>
      </w:r>
      <w:proofErr w:type="spellStart"/>
      <w:r>
        <w:t>globemallow</w:t>
      </w:r>
      <w:proofErr w:type="spellEnd"/>
      <w:r>
        <w:t xml:space="preserve"> is limited.  Grasshoppers will eat scarlet </w:t>
      </w:r>
      <w:proofErr w:type="spellStart"/>
      <w:r>
        <w:t>globemallow</w:t>
      </w:r>
      <w:proofErr w:type="spellEnd"/>
      <w:r>
        <w:t xml:space="preserve"> but it is unpalatable to </w:t>
      </w:r>
      <w:proofErr w:type="spellStart"/>
      <w:proofErr w:type="gramStart"/>
      <w:r>
        <w:t>mormon</w:t>
      </w:r>
      <w:proofErr w:type="spellEnd"/>
      <w:proofErr w:type="gramEnd"/>
      <w:r>
        <w:t xml:space="preserve"> crickets and appears to not be affected by army cutworm infestations on rangeland.  In seed increase fields in western </w:t>
      </w:r>
      <w:smartTag w:uri="urn:schemas-microsoft-com:office:smarttags" w:element="place">
        <w:smartTag w:uri="urn:schemas-microsoft-com:office:smarttags" w:element="State">
          <w:r>
            <w:t>Colorado</w:t>
          </w:r>
        </w:smartTag>
      </w:smartTag>
      <w:r>
        <w:t xml:space="preserve">, two species of weevils were identified in the field.  </w:t>
      </w:r>
      <w:proofErr w:type="spellStart"/>
      <w:r w:rsidRPr="00A60DD1">
        <w:rPr>
          <w:i/>
        </w:rPr>
        <w:t>Anthonomus</w:t>
      </w:r>
      <w:proofErr w:type="spellEnd"/>
      <w:r w:rsidRPr="00A60DD1">
        <w:rPr>
          <w:i/>
        </w:rPr>
        <w:t xml:space="preserve"> </w:t>
      </w:r>
      <w:proofErr w:type="spellStart"/>
      <w:r w:rsidRPr="00A60DD1">
        <w:rPr>
          <w:i/>
        </w:rPr>
        <w:t>sphaeral</w:t>
      </w:r>
      <w:r>
        <w:rPr>
          <w:i/>
        </w:rPr>
        <w:t>cea</w:t>
      </w:r>
      <w:proofErr w:type="spellEnd"/>
      <w:r>
        <w:t xml:space="preserve"> (</w:t>
      </w:r>
      <w:proofErr w:type="spellStart"/>
      <w:r w:rsidRPr="00BE3930">
        <w:rPr>
          <w:i/>
        </w:rPr>
        <w:t>Sphaeralcea</w:t>
      </w:r>
      <w:proofErr w:type="spellEnd"/>
      <w:r>
        <w:t xml:space="preserve"> weevil) was the dominant species of weevil and an unidentified </w:t>
      </w:r>
      <w:proofErr w:type="spellStart"/>
      <w:r w:rsidRPr="00A60DD1">
        <w:rPr>
          <w:i/>
        </w:rPr>
        <w:t>Apion</w:t>
      </w:r>
      <w:proofErr w:type="spellEnd"/>
      <w:r w:rsidRPr="00A60DD1">
        <w:rPr>
          <w:i/>
        </w:rPr>
        <w:t xml:space="preserve"> </w:t>
      </w:r>
      <w:r>
        <w:t xml:space="preserve">sp. was also present.  Weevils feed on developing seed pods and the potential for damage is high.  Any insecticide applications should be carefully considered and precautions taken to protect pollinators.  There are no known diseases that affect scarlet </w:t>
      </w:r>
      <w:proofErr w:type="spellStart"/>
      <w:r>
        <w:t>globemallow</w:t>
      </w:r>
      <w:proofErr w:type="spellEnd"/>
      <w:r>
        <w:t>.</w:t>
      </w:r>
    </w:p>
    <w:p w:rsidR="007133BB" w:rsidRDefault="007133BB" w:rsidP="007133BB">
      <w:pPr>
        <w:pStyle w:val="Bodytext0"/>
      </w:pPr>
    </w:p>
    <w:p w:rsidR="007133BB" w:rsidRDefault="007133BB" w:rsidP="007133BB">
      <w:pPr>
        <w:pStyle w:val="Bodytext0"/>
        <w:rPr>
          <w:b/>
          <w:bCs/>
        </w:rPr>
      </w:pPr>
      <w:r w:rsidRPr="008A21E4">
        <w:rPr>
          <w:b/>
        </w:rPr>
        <w:t>Seed and Plant Production</w:t>
      </w:r>
    </w:p>
    <w:p w:rsidR="007133BB" w:rsidRDefault="007133BB" w:rsidP="007133BB">
      <w:pPr>
        <w:pStyle w:val="Bodytext0"/>
        <w:rPr>
          <w:bCs/>
        </w:rPr>
      </w:pPr>
      <w:r>
        <w:rPr>
          <w:bCs/>
        </w:rPr>
        <w:t xml:space="preserve">Fields for seed production can be established by transplanting greenhouse-grown containerized stock or from direct seeding. Direct seeding should take place in the fall to allow for natural stratification of the seed. Seed germination can be increased by acid or mechanical scarification.  The pure stand seeding rate is 2 pounds PLS per acre.  When planting as part of a seed mix, adjust the rate to the percentage desired in the mix.  Seed should not be planted approximately </w:t>
      </w:r>
      <w:r w:rsidRPr="007A37F5">
        <w:rPr>
          <w:bCs/>
        </w:rPr>
        <w:t xml:space="preserve">1/8 </w:t>
      </w:r>
      <w:r>
        <w:rPr>
          <w:bCs/>
        </w:rPr>
        <w:t>inch deep and no deeper than 1/4 inch.</w:t>
      </w:r>
    </w:p>
    <w:p w:rsidR="007133BB" w:rsidRDefault="007133BB" w:rsidP="007133BB">
      <w:pPr>
        <w:pStyle w:val="Bodytext0"/>
        <w:rPr>
          <w:bCs/>
        </w:rPr>
      </w:pPr>
    </w:p>
    <w:p w:rsidR="007133BB" w:rsidRPr="00B460B6" w:rsidRDefault="007133BB" w:rsidP="007133BB">
      <w:pPr>
        <w:pStyle w:val="Bodytext0"/>
      </w:pPr>
      <w:r>
        <w:rPr>
          <w:bCs/>
        </w:rPr>
        <w:t xml:space="preserve">For seed production, the seeding rate is 20 to 50 PLS per linear foot of row.  Row spacing should be 28-36 inches.  </w:t>
      </w:r>
      <w:r>
        <w:rPr>
          <w:bCs/>
        </w:rPr>
        <w:lastRenderedPageBreak/>
        <w:t xml:space="preserve">Irrigation may be needed if planting in areas with less than 16 inches of annual precipitation.  Two irrigation applications are usually needed; once in the spring and then during the seed ripening phase.  Scarlet </w:t>
      </w:r>
      <w:proofErr w:type="spellStart"/>
      <w:r>
        <w:rPr>
          <w:bCs/>
        </w:rPr>
        <w:t>globemallow</w:t>
      </w:r>
      <w:proofErr w:type="spellEnd"/>
      <w:r>
        <w:rPr>
          <w:bCs/>
        </w:rPr>
        <w:t xml:space="preserve"> is pollinated by insects, so the use of insecticides should be limited especially during flowering.  Bees of the genus </w:t>
      </w:r>
      <w:proofErr w:type="spellStart"/>
      <w:r w:rsidRPr="008A21E4">
        <w:rPr>
          <w:bCs/>
          <w:i/>
        </w:rPr>
        <w:t>Diadaysia</w:t>
      </w:r>
      <w:proofErr w:type="spellEnd"/>
      <w:r w:rsidRPr="008A21E4">
        <w:rPr>
          <w:bCs/>
        </w:rPr>
        <w:t xml:space="preserve"> have been observed pollinating scarlet </w:t>
      </w:r>
      <w:proofErr w:type="spellStart"/>
      <w:r w:rsidRPr="008A21E4">
        <w:rPr>
          <w:bCs/>
        </w:rPr>
        <w:t>globemallow</w:t>
      </w:r>
      <w:proofErr w:type="spellEnd"/>
      <w:r w:rsidRPr="008A21E4">
        <w:rPr>
          <w:bCs/>
        </w:rPr>
        <w:t>.</w:t>
      </w:r>
      <w:r>
        <w:rPr>
          <w:bCs/>
        </w:rPr>
        <w:t xml:space="preserve">  Seed may be harvested mechanically or by hand stripping and seed yields range from 75-100 pounds per acre (34-45 kg/ha).  Harvest seed when the lower capsules begin to dry.  Care should be used when handling seed because the </w:t>
      </w:r>
      <w:proofErr w:type="spellStart"/>
      <w:r>
        <w:rPr>
          <w:bCs/>
        </w:rPr>
        <w:t>stellate</w:t>
      </w:r>
      <w:proofErr w:type="spellEnd"/>
      <w:r>
        <w:rPr>
          <w:bCs/>
        </w:rPr>
        <w:t xml:space="preserve"> hairs on the seed can be a severe eye irritant.</w:t>
      </w:r>
    </w:p>
    <w:p w:rsidR="007133BB" w:rsidRDefault="007133BB" w:rsidP="007133BB">
      <w:pPr>
        <w:pStyle w:val="Header3"/>
      </w:pPr>
    </w:p>
    <w:p w:rsidR="007133BB" w:rsidRDefault="007133BB" w:rsidP="007133BB">
      <w:pPr>
        <w:jc w:val="left"/>
        <w:rPr>
          <w:sz w:val="14"/>
          <w:szCs w:val="16"/>
        </w:rPr>
      </w:pPr>
      <w:r>
        <w:rPr>
          <w:noProof/>
          <w:sz w:val="14"/>
          <w:szCs w:val="16"/>
        </w:rPr>
        <w:drawing>
          <wp:inline distT="0" distB="0" distL="0" distR="0">
            <wp:extent cx="2718435" cy="3150235"/>
            <wp:effectExtent l="19050" t="0" r="5715" b="0"/>
            <wp:docPr id="1" name="Picture 1" descr="Scarlet globemallow seedling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let globemallow seedling (National Park Service)"/>
                    <pic:cNvPicPr>
                      <a:picLocks noChangeAspect="1" noChangeArrowheads="1"/>
                    </pic:cNvPicPr>
                  </pic:nvPicPr>
                  <pic:blipFill>
                    <a:blip r:embed="rId12" cstate="print"/>
                    <a:srcRect/>
                    <a:stretch>
                      <a:fillRect/>
                    </a:stretch>
                  </pic:blipFill>
                  <pic:spPr bwMode="auto">
                    <a:xfrm>
                      <a:off x="0" y="0"/>
                      <a:ext cx="2718435" cy="3150235"/>
                    </a:xfrm>
                    <a:prstGeom prst="rect">
                      <a:avLst/>
                    </a:prstGeom>
                    <a:noFill/>
                    <a:ln w="9525">
                      <a:noFill/>
                      <a:miter lim="800000"/>
                      <a:headEnd/>
                      <a:tailEnd/>
                    </a:ln>
                  </pic:spPr>
                </pic:pic>
              </a:graphicData>
            </a:graphic>
          </wp:inline>
        </w:drawing>
      </w:r>
    </w:p>
    <w:p w:rsidR="007133BB" w:rsidRPr="00201D19" w:rsidRDefault="007133BB" w:rsidP="007133BB">
      <w:pPr>
        <w:jc w:val="left"/>
        <w:rPr>
          <w:sz w:val="14"/>
          <w:szCs w:val="16"/>
        </w:rPr>
      </w:pPr>
      <w:r>
        <w:rPr>
          <w:b/>
          <w:sz w:val="16"/>
          <w:szCs w:val="16"/>
        </w:rPr>
        <w:t xml:space="preserve">Scarlet </w:t>
      </w:r>
      <w:proofErr w:type="spellStart"/>
      <w:r>
        <w:rPr>
          <w:b/>
          <w:sz w:val="16"/>
          <w:szCs w:val="16"/>
        </w:rPr>
        <w:t>globemallow</w:t>
      </w:r>
      <w:proofErr w:type="spellEnd"/>
      <w:r>
        <w:rPr>
          <w:b/>
          <w:sz w:val="16"/>
          <w:szCs w:val="16"/>
        </w:rPr>
        <w:t xml:space="preserve"> seedling (National Park Service)</w:t>
      </w:r>
    </w:p>
    <w:p w:rsidR="007133BB" w:rsidRDefault="007133BB" w:rsidP="007133BB">
      <w:pPr>
        <w:pStyle w:val="Bodytext0"/>
      </w:pPr>
    </w:p>
    <w:p w:rsidR="007133BB" w:rsidRDefault="007133BB" w:rsidP="007133BB">
      <w:pPr>
        <w:pStyle w:val="Header3"/>
      </w:pPr>
      <w:r>
        <w:t>Cultivars, Improved, and Selected Materials (and area of origin)</w:t>
      </w:r>
    </w:p>
    <w:p w:rsidR="007133BB" w:rsidRDefault="007133BB" w:rsidP="007133BB">
      <w:pPr>
        <w:pStyle w:val="Bodytext0"/>
      </w:pPr>
      <w:proofErr w:type="spellStart"/>
      <w:r>
        <w:t>Wildland</w:t>
      </w:r>
      <w:proofErr w:type="spellEnd"/>
      <w:r>
        <w:t xml:space="preserve"> harvested seed is available through commercial sources. The Agricultural Research Service released Pre-variety Selected Class ARS-2936 Scarlet </w:t>
      </w:r>
      <w:proofErr w:type="spellStart"/>
      <w:r>
        <w:t>Globemallow</w:t>
      </w:r>
      <w:proofErr w:type="spellEnd"/>
      <w:r>
        <w:t xml:space="preserve"> in 1993.  The original collection was made in northern </w:t>
      </w:r>
      <w:smartTag w:uri="urn:schemas-microsoft-com:office:smarttags" w:element="State">
        <w:smartTag w:uri="urn:schemas-microsoft-com:office:smarttags" w:element="place">
          <w:r>
            <w:t>Idaho</w:t>
          </w:r>
        </w:smartTag>
      </w:smartTag>
      <w:r>
        <w:t xml:space="preserve"> in 1987 and was selected for forage yield, spread from rhizomes and relatively high palatability. Small seed samples are available for seed increase or research.</w:t>
      </w:r>
    </w:p>
    <w:p w:rsidR="007133BB" w:rsidRDefault="007133BB" w:rsidP="007133BB">
      <w:pPr>
        <w:pStyle w:val="Header3"/>
      </w:pPr>
    </w:p>
    <w:p w:rsidR="007133BB" w:rsidRDefault="007133BB" w:rsidP="007133BB">
      <w:pPr>
        <w:pStyle w:val="Header3"/>
      </w:pPr>
      <w:r>
        <w:t>References</w:t>
      </w:r>
    </w:p>
    <w:p w:rsidR="007133BB" w:rsidRDefault="007133BB" w:rsidP="007133BB">
      <w:pPr>
        <w:pStyle w:val="Bodytext0"/>
        <w:tabs>
          <w:tab w:val="clear" w:pos="2430"/>
          <w:tab w:val="clear" w:pos="2520"/>
        </w:tabs>
      </w:pPr>
      <w:proofErr w:type="gramStart"/>
      <w:r>
        <w:t>Arches National Park.</w:t>
      </w:r>
      <w:proofErr w:type="gramEnd"/>
      <w:r>
        <w:t xml:space="preserve"> </w:t>
      </w:r>
      <w:proofErr w:type="gramStart"/>
      <w:r>
        <w:t xml:space="preserve">Scarlet </w:t>
      </w:r>
      <w:proofErr w:type="spellStart"/>
      <w:r>
        <w:t>Globemallow</w:t>
      </w:r>
      <w:proofErr w:type="spellEnd"/>
      <w:r>
        <w:t>.</w:t>
      </w:r>
      <w:proofErr w:type="gramEnd"/>
      <w:r>
        <w:t xml:space="preserve">  </w:t>
      </w:r>
      <w:proofErr w:type="gramStart"/>
      <w:r>
        <w:t xml:space="preserve">National </w:t>
      </w:r>
      <w:r>
        <w:tab/>
        <w:t>Park Service.</w:t>
      </w:r>
      <w:proofErr w:type="gramEnd"/>
      <w:r>
        <w:t xml:space="preserve"> </w:t>
      </w:r>
      <w:r>
        <w:tab/>
      </w:r>
      <w:r w:rsidRPr="007133BB">
        <w:t>http://www.nps.gov/arch/naturescience/htm</w:t>
      </w:r>
    </w:p>
    <w:p w:rsidR="007133BB" w:rsidRDefault="007133BB" w:rsidP="007133BB">
      <w:pPr>
        <w:pStyle w:val="Bodytext0"/>
        <w:tabs>
          <w:tab w:val="clear" w:pos="2430"/>
          <w:tab w:val="clear" w:pos="2520"/>
        </w:tabs>
      </w:pPr>
      <w:r>
        <w:tab/>
        <w:t>(</w:t>
      </w:r>
      <w:proofErr w:type="gramStart"/>
      <w:r>
        <w:t>accessed</w:t>
      </w:r>
      <w:proofErr w:type="gramEnd"/>
      <w:r>
        <w:t xml:space="preserve"> 4 Feb 2009).</w:t>
      </w:r>
    </w:p>
    <w:p w:rsidR="007133BB" w:rsidRDefault="007133BB" w:rsidP="007133BB">
      <w:pPr>
        <w:pStyle w:val="Bodytext0"/>
        <w:tabs>
          <w:tab w:val="clear" w:pos="2430"/>
          <w:tab w:val="clear" w:pos="2520"/>
        </w:tabs>
      </w:pPr>
      <w:r>
        <w:t xml:space="preserve">Davis, R.J. 1952. </w:t>
      </w:r>
      <w:proofErr w:type="gramStart"/>
      <w:r>
        <w:t>Flora of Idaho.</w:t>
      </w:r>
      <w:proofErr w:type="gramEnd"/>
      <w:r>
        <w:t xml:space="preserve">  WM. C. Brown </w:t>
      </w:r>
      <w:r>
        <w:tab/>
        <w:t xml:space="preserve">Company. </w:t>
      </w:r>
      <w:smartTag w:uri="urn:schemas-microsoft-com:office:smarttags" w:element="place">
        <w:smartTag w:uri="urn:schemas-microsoft-com:office:smarttags" w:element="City">
          <w:r>
            <w:t>Dubuque</w:t>
          </w:r>
        </w:smartTag>
        <w:r>
          <w:t xml:space="preserve">, </w:t>
        </w:r>
        <w:smartTag w:uri="urn:schemas-microsoft-com:office:smarttags" w:element="State">
          <w:r>
            <w:t>Iowa</w:t>
          </w:r>
        </w:smartTag>
      </w:smartTag>
      <w:r>
        <w:t xml:space="preserve">. </w:t>
      </w:r>
      <w:proofErr w:type="gramStart"/>
      <w:r>
        <w:t>828 p.</w:t>
      </w:r>
      <w:proofErr w:type="gramEnd"/>
    </w:p>
    <w:p w:rsidR="007133BB" w:rsidRDefault="007133BB" w:rsidP="007133BB">
      <w:pPr>
        <w:pStyle w:val="Bodytext0"/>
        <w:tabs>
          <w:tab w:val="clear" w:pos="2430"/>
          <w:tab w:val="clear" w:pos="2520"/>
        </w:tabs>
      </w:pPr>
      <w:proofErr w:type="spellStart"/>
      <w:r>
        <w:t>Hammon</w:t>
      </w:r>
      <w:proofErr w:type="spellEnd"/>
      <w:r>
        <w:t xml:space="preserve">, B. Western </w:t>
      </w:r>
      <w:smartTag w:uri="urn:schemas-microsoft-com:office:smarttags" w:element="State">
        <w:smartTag w:uri="urn:schemas-microsoft-com:office:smarttags" w:element="place">
          <w:r>
            <w:t>Colorado</w:t>
          </w:r>
        </w:smartTag>
      </w:smartTag>
      <w:r>
        <w:t xml:space="preserve"> Entomology. </w:t>
      </w:r>
      <w:proofErr w:type="gramStart"/>
      <w:r>
        <w:t xml:space="preserve">Pests </w:t>
      </w:r>
      <w:r>
        <w:tab/>
        <w:t>Affecting Native Plant Seed Production.</w:t>
      </w:r>
      <w:proofErr w:type="gramEnd"/>
      <w:r>
        <w:t xml:space="preserve"> </w:t>
      </w:r>
      <w:proofErr w:type="gramStart"/>
      <w:r>
        <w:t xml:space="preserve">The </w:t>
      </w:r>
      <w:r>
        <w:tab/>
      </w:r>
      <w:proofErr w:type="spellStart"/>
      <w:r>
        <w:t>Sphaeralcea</w:t>
      </w:r>
      <w:proofErr w:type="spellEnd"/>
      <w:r>
        <w:t xml:space="preserve"> Weevil.</w:t>
      </w:r>
      <w:proofErr w:type="gramEnd"/>
      <w:r>
        <w:t xml:space="preserve"> </w:t>
      </w:r>
      <w:r>
        <w:tab/>
      </w:r>
      <w:r w:rsidRPr="007133BB">
        <w:t>http://wci.colostate.edu/Assests/html/Spco.html</w:t>
      </w:r>
    </w:p>
    <w:p w:rsidR="007133BB" w:rsidRDefault="007133BB" w:rsidP="007133BB">
      <w:pPr>
        <w:pStyle w:val="Bodytext0"/>
        <w:tabs>
          <w:tab w:val="clear" w:pos="2430"/>
          <w:tab w:val="clear" w:pos="2520"/>
        </w:tabs>
      </w:pPr>
      <w:r>
        <w:tab/>
        <w:t>(</w:t>
      </w:r>
      <w:proofErr w:type="gramStart"/>
      <w:r>
        <w:t>accessed</w:t>
      </w:r>
      <w:proofErr w:type="gramEnd"/>
      <w:r>
        <w:t xml:space="preserve"> 4 Feb 2009).</w:t>
      </w:r>
    </w:p>
    <w:p w:rsidR="007133BB" w:rsidRDefault="007133BB" w:rsidP="007133BB">
      <w:pPr>
        <w:pStyle w:val="Bodytext0"/>
        <w:tabs>
          <w:tab w:val="clear" w:pos="2430"/>
          <w:tab w:val="clear" w:pos="2520"/>
        </w:tabs>
      </w:pPr>
      <w:proofErr w:type="gramStart"/>
      <w:r>
        <w:lastRenderedPageBreak/>
        <w:t>Page, R., D. Goodwin and N. West.</w:t>
      </w:r>
      <w:proofErr w:type="gramEnd"/>
      <w:r>
        <w:t xml:space="preserve"> 1966. Germination </w:t>
      </w:r>
      <w:r>
        <w:tab/>
        <w:t xml:space="preserve">requirements of Scarlet </w:t>
      </w:r>
      <w:proofErr w:type="spellStart"/>
      <w:r>
        <w:t>Globemallow</w:t>
      </w:r>
      <w:proofErr w:type="spellEnd"/>
      <w:r>
        <w:t xml:space="preserve">. </w:t>
      </w:r>
      <w:proofErr w:type="gramStart"/>
      <w:r>
        <w:t xml:space="preserve">Journal of </w:t>
      </w:r>
      <w:r>
        <w:tab/>
        <w:t>Range Management (19) p145-146.</w:t>
      </w:r>
      <w:proofErr w:type="gramEnd"/>
    </w:p>
    <w:p w:rsidR="007133BB" w:rsidRDefault="007133BB" w:rsidP="007133BB">
      <w:pPr>
        <w:pStyle w:val="Bodytext0"/>
        <w:tabs>
          <w:tab w:val="clear" w:pos="2430"/>
          <w:tab w:val="clear" w:pos="2520"/>
        </w:tabs>
      </w:pPr>
      <w:r>
        <w:t xml:space="preserve">Range Plants of Utah. </w:t>
      </w:r>
      <w:proofErr w:type="gramStart"/>
      <w:r>
        <w:t xml:space="preserve">Scarlet </w:t>
      </w:r>
      <w:proofErr w:type="spellStart"/>
      <w:r>
        <w:t>Globemallow</w:t>
      </w:r>
      <w:proofErr w:type="spellEnd"/>
      <w:r>
        <w:t>.</w:t>
      </w:r>
      <w:proofErr w:type="gramEnd"/>
      <w:r>
        <w:t xml:space="preserve"> </w:t>
      </w:r>
      <w:proofErr w:type="gramStart"/>
      <w:r>
        <w:t xml:space="preserve">Utah State </w:t>
      </w:r>
      <w:r>
        <w:tab/>
        <w:t>University.</w:t>
      </w:r>
      <w:proofErr w:type="gramEnd"/>
      <w:r>
        <w:t xml:space="preserve"> </w:t>
      </w:r>
      <w:r>
        <w:tab/>
      </w:r>
      <w:r w:rsidRPr="007133BB">
        <w:t>http://extension.usu.edu/range/forbs/scarletglobemall</w:t>
      </w:r>
      <w:r w:rsidRPr="007133BB">
        <w:tab/>
        <w:t>ow.htm</w:t>
      </w:r>
      <w:r>
        <w:t xml:space="preserve"> (accessed 15 Jan 2009).</w:t>
      </w:r>
    </w:p>
    <w:p w:rsidR="007133BB" w:rsidRDefault="007133BB" w:rsidP="007133BB">
      <w:pPr>
        <w:pStyle w:val="Bodytext0"/>
        <w:tabs>
          <w:tab w:val="clear" w:pos="2430"/>
          <w:tab w:val="clear" w:pos="2520"/>
        </w:tabs>
      </w:pPr>
      <w:proofErr w:type="spellStart"/>
      <w:proofErr w:type="gramStart"/>
      <w:r>
        <w:t>Rumbaugh</w:t>
      </w:r>
      <w:proofErr w:type="spellEnd"/>
      <w:r>
        <w:t xml:space="preserve">, M., B. </w:t>
      </w:r>
      <w:proofErr w:type="spellStart"/>
      <w:r>
        <w:t>Pendery</w:t>
      </w:r>
      <w:proofErr w:type="spellEnd"/>
      <w:r>
        <w:t xml:space="preserve">, H. </w:t>
      </w:r>
      <w:proofErr w:type="spellStart"/>
      <w:r>
        <w:t>Mayland</w:t>
      </w:r>
      <w:proofErr w:type="spellEnd"/>
      <w:r>
        <w:t xml:space="preserve"> and G.</w:t>
      </w:r>
      <w:proofErr w:type="gramEnd"/>
      <w:r>
        <w:t xml:space="preserve"> </w:t>
      </w:r>
      <w:r>
        <w:tab/>
      </w:r>
      <w:proofErr w:type="spellStart"/>
      <w:proofErr w:type="gramStart"/>
      <w:r>
        <w:t>Shewmaker</w:t>
      </w:r>
      <w:proofErr w:type="spellEnd"/>
      <w:r>
        <w:t>.</w:t>
      </w:r>
      <w:proofErr w:type="gramEnd"/>
      <w:r>
        <w:t xml:space="preserve"> 1993. Registration of ARS-2936 Scarlet </w:t>
      </w:r>
      <w:r>
        <w:tab/>
      </w:r>
      <w:proofErr w:type="spellStart"/>
      <w:r>
        <w:t>Globemallow</w:t>
      </w:r>
      <w:proofErr w:type="spellEnd"/>
      <w:r>
        <w:t xml:space="preserve">.  </w:t>
      </w:r>
      <w:proofErr w:type="gramStart"/>
      <w:r>
        <w:t>Crop Science (33) 1106-1107.</w:t>
      </w:r>
      <w:proofErr w:type="gramEnd"/>
    </w:p>
    <w:p w:rsidR="007133BB" w:rsidRDefault="007133BB" w:rsidP="007133BB">
      <w:pPr>
        <w:pStyle w:val="Bodytext0"/>
        <w:tabs>
          <w:tab w:val="clear" w:pos="2430"/>
          <w:tab w:val="clear" w:pos="2520"/>
        </w:tabs>
      </w:pPr>
      <w:r>
        <w:t xml:space="preserve">Stevens, R., K. Jorgensen, S. Young, S. </w:t>
      </w:r>
      <w:proofErr w:type="spellStart"/>
      <w:r>
        <w:t>Monsen</w:t>
      </w:r>
      <w:proofErr w:type="spellEnd"/>
      <w:r>
        <w:t xml:space="preserve">. 1996. </w:t>
      </w:r>
      <w:r>
        <w:tab/>
      </w:r>
      <w:proofErr w:type="spellStart"/>
      <w:r>
        <w:t>Forb</w:t>
      </w:r>
      <w:proofErr w:type="spellEnd"/>
      <w:r>
        <w:t xml:space="preserve"> and Shrub Seed Production Guide for Utah. </w:t>
      </w:r>
      <w:r>
        <w:tab/>
      </w:r>
      <w:proofErr w:type="gramStart"/>
      <w:r>
        <w:t>Utah State University Extension.</w:t>
      </w:r>
      <w:proofErr w:type="gramEnd"/>
      <w:r>
        <w:t xml:space="preserve"> 51p.</w:t>
      </w:r>
    </w:p>
    <w:p w:rsidR="007133BB" w:rsidRDefault="007133BB" w:rsidP="007133BB">
      <w:pPr>
        <w:pStyle w:val="Bodytext0"/>
        <w:tabs>
          <w:tab w:val="clear" w:pos="2430"/>
          <w:tab w:val="clear" w:pos="2520"/>
        </w:tabs>
      </w:pPr>
      <w:proofErr w:type="gramStart"/>
      <w:r>
        <w:t xml:space="preserve">USA National </w:t>
      </w:r>
      <w:proofErr w:type="spellStart"/>
      <w:r>
        <w:t>Phenology</w:t>
      </w:r>
      <w:proofErr w:type="spellEnd"/>
      <w:r>
        <w:t xml:space="preserve"> Network.</w:t>
      </w:r>
      <w:proofErr w:type="gramEnd"/>
      <w:r>
        <w:t xml:space="preserve">  </w:t>
      </w:r>
      <w:proofErr w:type="spellStart"/>
      <w:proofErr w:type="gramStart"/>
      <w:r w:rsidRPr="00266DB3">
        <w:rPr>
          <w:i/>
        </w:rPr>
        <w:t>Sphaeralcea</w:t>
      </w:r>
      <w:proofErr w:type="spellEnd"/>
      <w:r w:rsidRPr="00266DB3">
        <w:rPr>
          <w:i/>
        </w:rPr>
        <w:t xml:space="preserve"> </w:t>
      </w:r>
      <w:r>
        <w:rPr>
          <w:i/>
        </w:rPr>
        <w:tab/>
      </w:r>
      <w:proofErr w:type="spellStart"/>
      <w:r w:rsidRPr="00266DB3">
        <w:rPr>
          <w:i/>
        </w:rPr>
        <w:t>coccinea</w:t>
      </w:r>
      <w:proofErr w:type="spellEnd"/>
      <w:r>
        <w:t>.</w:t>
      </w:r>
      <w:proofErr w:type="gramEnd"/>
      <w:r>
        <w:t xml:space="preserve">  </w:t>
      </w:r>
      <w:r w:rsidRPr="007133BB">
        <w:t>http://www.usanpn.org</w:t>
      </w:r>
    </w:p>
    <w:p w:rsidR="007133BB" w:rsidRDefault="007133BB" w:rsidP="007133BB">
      <w:pPr>
        <w:pStyle w:val="Bodytext0"/>
        <w:tabs>
          <w:tab w:val="clear" w:pos="2430"/>
          <w:tab w:val="clear" w:pos="2520"/>
        </w:tabs>
      </w:pPr>
      <w:r>
        <w:tab/>
        <w:t>(</w:t>
      </w:r>
      <w:proofErr w:type="gramStart"/>
      <w:r>
        <w:t>accessed</w:t>
      </w:r>
      <w:proofErr w:type="gramEnd"/>
      <w:r>
        <w:t xml:space="preserve"> 20 Jan 2009).</w:t>
      </w:r>
    </w:p>
    <w:p w:rsidR="007133BB" w:rsidRDefault="007133BB" w:rsidP="007133BB">
      <w:pPr>
        <w:pStyle w:val="Bodytext0"/>
        <w:tabs>
          <w:tab w:val="clear" w:pos="2430"/>
          <w:tab w:val="clear" w:pos="2520"/>
        </w:tabs>
      </w:pPr>
      <w:proofErr w:type="spellStart"/>
      <w:r>
        <w:t>Tollefson</w:t>
      </w:r>
      <w:proofErr w:type="spellEnd"/>
      <w:r>
        <w:t xml:space="preserve">, J. 2006. </w:t>
      </w:r>
      <w:proofErr w:type="spellStart"/>
      <w:proofErr w:type="gramStart"/>
      <w:r>
        <w:t>Sphaeralcea</w:t>
      </w:r>
      <w:proofErr w:type="spellEnd"/>
      <w:r>
        <w:t xml:space="preserve"> </w:t>
      </w:r>
      <w:proofErr w:type="spellStart"/>
      <w:r>
        <w:t>coccinea</w:t>
      </w:r>
      <w:proofErr w:type="spellEnd"/>
      <w:r>
        <w:t>.</w:t>
      </w:r>
      <w:proofErr w:type="gramEnd"/>
      <w:r>
        <w:t xml:space="preserve"> In: Fire Effects </w:t>
      </w:r>
      <w:r>
        <w:tab/>
        <w:t xml:space="preserve">Information System. </w:t>
      </w:r>
      <w:proofErr w:type="gramStart"/>
      <w:r>
        <w:t>USDA-FS-RMRS, FSL.</w:t>
      </w:r>
      <w:proofErr w:type="gramEnd"/>
      <w:r>
        <w:t xml:space="preserve"> </w:t>
      </w:r>
      <w:r>
        <w:tab/>
      </w:r>
      <w:r w:rsidRPr="007133BB">
        <w:t>http://www.fed/us/database/feis/plants.html</w:t>
      </w:r>
    </w:p>
    <w:p w:rsidR="007133BB" w:rsidRDefault="007133BB" w:rsidP="007133BB">
      <w:pPr>
        <w:pStyle w:val="Bodytext0"/>
        <w:tabs>
          <w:tab w:val="clear" w:pos="2430"/>
          <w:tab w:val="clear" w:pos="2520"/>
        </w:tabs>
      </w:pPr>
      <w:r>
        <w:tab/>
        <w:t>(</w:t>
      </w:r>
      <w:proofErr w:type="gramStart"/>
      <w:r>
        <w:t>accessed</w:t>
      </w:r>
      <w:proofErr w:type="gramEnd"/>
      <w:r>
        <w:t xml:space="preserve"> 15 Jan 2009).</w:t>
      </w:r>
    </w:p>
    <w:p w:rsidR="007133BB" w:rsidRDefault="007133BB" w:rsidP="007133BB">
      <w:pPr>
        <w:pStyle w:val="Bodytext0"/>
        <w:tabs>
          <w:tab w:val="clear" w:pos="2430"/>
          <w:tab w:val="clear" w:pos="2520"/>
        </w:tabs>
      </w:pPr>
      <w:proofErr w:type="gramStart"/>
      <w:r w:rsidRPr="000F20B4">
        <w:t>USDA Natural Resources Conservation Service.</w:t>
      </w:r>
      <w:proofErr w:type="gramEnd"/>
      <w:r w:rsidRPr="000F20B4">
        <w:t xml:space="preserve"> 2008. </w:t>
      </w:r>
      <w:r>
        <w:tab/>
      </w:r>
      <w:r w:rsidRPr="000F20B4">
        <w:t xml:space="preserve">The PLANTS database, version 3.5. </w:t>
      </w:r>
      <w:r>
        <w:t xml:space="preserve">URL: </w:t>
      </w:r>
      <w:r>
        <w:tab/>
      </w:r>
      <w:r w:rsidRPr="007133BB">
        <w:t>http://plants.usda.gov</w:t>
      </w:r>
    </w:p>
    <w:p w:rsidR="007133BB" w:rsidRDefault="007133BB" w:rsidP="007133BB">
      <w:pPr>
        <w:pStyle w:val="Bodytext0"/>
        <w:tabs>
          <w:tab w:val="clear" w:pos="2430"/>
          <w:tab w:val="clear" w:pos="2520"/>
        </w:tabs>
      </w:pPr>
      <w:r>
        <w:tab/>
      </w:r>
      <w:r w:rsidRPr="000F20B4">
        <w:t>(</w:t>
      </w:r>
      <w:proofErr w:type="gramStart"/>
      <w:r w:rsidRPr="000F20B4">
        <w:t>accessed</w:t>
      </w:r>
      <w:proofErr w:type="gramEnd"/>
      <w:r w:rsidRPr="000F20B4">
        <w:t xml:space="preserve"> 04 Feb 2009). </w:t>
      </w:r>
      <w:smartTag w:uri="urn:schemas-microsoft-com:office:smarttags" w:element="place">
        <w:smartTag w:uri="urn:schemas-microsoft-com:office:smarttags" w:element="City">
          <w:r w:rsidRPr="000F20B4">
            <w:t>Baton Rouge</w:t>
          </w:r>
        </w:smartTag>
        <w:r w:rsidRPr="000F20B4">
          <w:t xml:space="preserve">, </w:t>
        </w:r>
        <w:smartTag w:uri="urn:schemas-microsoft-com:office:smarttags" w:element="State">
          <w:r w:rsidRPr="000F20B4">
            <w:t>LA.</w:t>
          </w:r>
        </w:smartTag>
      </w:smartTag>
      <w:r w:rsidRPr="000F20B4">
        <w:t xml:space="preserve"> </w:t>
      </w:r>
      <w:proofErr w:type="gramStart"/>
      <w:r w:rsidRPr="000F20B4">
        <w:t xml:space="preserve">National </w:t>
      </w:r>
      <w:r>
        <w:tab/>
      </w:r>
      <w:r w:rsidRPr="000F20B4">
        <w:t>Plant Data Center.</w:t>
      </w:r>
      <w:proofErr w:type="gramEnd"/>
    </w:p>
    <w:p w:rsidR="007133BB" w:rsidRDefault="007133BB" w:rsidP="007133BB">
      <w:pPr>
        <w:pStyle w:val="Bodytext0"/>
        <w:tabs>
          <w:tab w:val="clear" w:pos="2430"/>
          <w:tab w:val="clear" w:pos="2520"/>
        </w:tabs>
      </w:pPr>
    </w:p>
    <w:p w:rsidR="007133BB" w:rsidRDefault="007133BB" w:rsidP="007133BB">
      <w:pPr>
        <w:pStyle w:val="Header3"/>
      </w:pPr>
      <w:r>
        <w:t>Prepared By</w:t>
      </w:r>
    </w:p>
    <w:p w:rsidR="007133BB" w:rsidRDefault="007133BB" w:rsidP="007133BB">
      <w:pPr>
        <w:pStyle w:val="BodyTextIndent"/>
        <w:ind w:left="0"/>
        <w:jc w:val="both"/>
        <w:outlineLvl w:val="0"/>
      </w:pPr>
      <w:r>
        <w:t xml:space="preserve">Loren St. John,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Aberdeen</w:t>
          </w:r>
        </w:smartTag>
        <w:r>
          <w:t xml:space="preserve">, </w:t>
        </w:r>
        <w:smartTag w:uri="urn:schemas-microsoft-com:office:smarttags" w:element="State">
          <w:r>
            <w:t>ID</w:t>
          </w:r>
        </w:smartTag>
      </w:smartTag>
    </w:p>
    <w:p w:rsidR="007133BB" w:rsidRDefault="007133BB" w:rsidP="007133BB">
      <w:pPr>
        <w:pStyle w:val="BodyTextIndent"/>
        <w:ind w:left="0"/>
        <w:jc w:val="both"/>
        <w:outlineLvl w:val="0"/>
      </w:pPr>
    </w:p>
    <w:p w:rsidR="007133BB" w:rsidRDefault="007133BB" w:rsidP="007133BB">
      <w:pPr>
        <w:pStyle w:val="BodyTextIndent"/>
        <w:ind w:left="0"/>
        <w:jc w:val="both"/>
        <w:outlineLvl w:val="0"/>
      </w:pPr>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7133BB" w:rsidRDefault="007133BB" w:rsidP="007133BB">
      <w:pPr>
        <w:pStyle w:val="Bodytext0"/>
        <w:jc w:val="both"/>
      </w:pPr>
    </w:p>
    <w:p w:rsidR="007133BB" w:rsidRDefault="007133BB" w:rsidP="007133BB">
      <w:pPr>
        <w:pStyle w:val="Header3"/>
      </w:pPr>
      <w:r>
        <w:t>Species Coordinator</w:t>
      </w:r>
    </w:p>
    <w:p w:rsidR="007133BB" w:rsidRDefault="007133BB" w:rsidP="007133BB">
      <w:pPr>
        <w:pStyle w:val="BodyTextIndent"/>
        <w:ind w:left="0"/>
        <w:jc w:val="both"/>
        <w:outlineLvl w:val="0"/>
      </w:pPr>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F26813" w:rsidRPr="00A90532" w:rsidRDefault="00F26813" w:rsidP="00721B7E">
      <w:pPr>
        <w:pStyle w:val="Heading3"/>
        <w:rPr>
          <w:i/>
          <w:iCs/>
        </w:rPr>
      </w:pPr>
      <w:r w:rsidRPr="00A90532">
        <w:t>Citation</w:t>
      </w:r>
    </w:p>
    <w:p w:rsidR="007133BB" w:rsidRPr="00101621" w:rsidRDefault="007133BB" w:rsidP="007133BB">
      <w:pPr>
        <w:jc w:val="left"/>
        <w:rPr>
          <w:sz w:val="20"/>
        </w:rPr>
      </w:pPr>
      <w:r w:rsidRPr="00101621">
        <w:rPr>
          <w:sz w:val="20"/>
        </w:rPr>
        <w:t>St. John, L., D.G. Ogle, D. Tilley. 2010.  Plant Guide for Strawberry Clover (</w:t>
      </w:r>
      <w:proofErr w:type="spellStart"/>
      <w:r w:rsidRPr="00101621">
        <w:rPr>
          <w:i/>
          <w:sz w:val="20"/>
        </w:rPr>
        <w:t>Trifolium</w:t>
      </w:r>
      <w:proofErr w:type="spellEnd"/>
      <w:r w:rsidRPr="00101621">
        <w:rPr>
          <w:i/>
          <w:sz w:val="20"/>
        </w:rPr>
        <w:t xml:space="preserve"> </w:t>
      </w:r>
      <w:proofErr w:type="spellStart"/>
      <w:r w:rsidRPr="00101621">
        <w:rPr>
          <w:i/>
          <w:sz w:val="20"/>
        </w:rPr>
        <w:t>fragiferum</w:t>
      </w:r>
      <w:proofErr w:type="spellEnd"/>
      <w:r w:rsidRPr="00101621">
        <w:rPr>
          <w:sz w:val="20"/>
        </w:rPr>
        <w:t xml:space="preserve">).  </w:t>
      </w:r>
      <w:proofErr w:type="gramStart"/>
      <w:r w:rsidRPr="00101621">
        <w:rPr>
          <w:sz w:val="20"/>
        </w:rPr>
        <w:t xml:space="preserve">USDA-Natural Resources Conservation Service, </w:t>
      </w:r>
      <w:r w:rsidR="0077680E">
        <w:rPr>
          <w:sz w:val="20"/>
        </w:rPr>
        <w:t>ID Plant Materials Center, Aberdeen, ID  83210.</w:t>
      </w:r>
      <w:proofErr w:type="gramEnd"/>
    </w:p>
    <w:p w:rsidR="000E3166" w:rsidRPr="00705B62" w:rsidRDefault="000E3166" w:rsidP="000E3166">
      <w:pPr>
        <w:pStyle w:val="NRCSBodyText"/>
        <w:spacing w:before="240"/>
        <w:rPr>
          <w:i/>
        </w:rPr>
      </w:pPr>
      <w:r w:rsidRPr="000E3166">
        <w:t xml:space="preserve">Published </w:t>
      </w:r>
      <w:r w:rsidR="007133BB">
        <w:t>March, 2009</w:t>
      </w:r>
    </w:p>
    <w:p w:rsidR="007133BB" w:rsidRDefault="007133BB" w:rsidP="007133BB">
      <w:pPr>
        <w:pStyle w:val="NRCSBodyText"/>
        <w:spacing w:before="240"/>
      </w:pPr>
      <w:r>
        <w:t>Edited: 020609lws; 020609dgo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r>
        <w:rPr>
          <w:b/>
          <w:color w:val="00A886"/>
          <w:sz w:val="20"/>
        </w:rPr>
        <w:br w:type="column"/>
      </w:r>
    </w:p>
    <w:p w:rsidR="007133BB" w:rsidRDefault="007133BB"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F24" w:rsidRDefault="00B80F24">
      <w:r>
        <w:separator/>
      </w:r>
    </w:p>
  </w:endnote>
  <w:endnote w:type="continuationSeparator" w:id="0">
    <w:p w:rsidR="00B80F24" w:rsidRDefault="00B80F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F24" w:rsidRDefault="00B80F24">
      <w:r>
        <w:separator/>
      </w:r>
    </w:p>
  </w:footnote>
  <w:footnote w:type="continuationSeparator" w:id="0">
    <w:p w:rsidR="00B80F24" w:rsidRDefault="00B80F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D67D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A7515"/>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2247D"/>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133BB"/>
    <w:rsid w:val="007210A5"/>
    <w:rsid w:val="00721B7E"/>
    <w:rsid w:val="00721E96"/>
    <w:rsid w:val="00722A00"/>
    <w:rsid w:val="007267E8"/>
    <w:rsid w:val="00732FEF"/>
    <w:rsid w:val="00740FE4"/>
    <w:rsid w:val="007478EA"/>
    <w:rsid w:val="00763908"/>
    <w:rsid w:val="007649A5"/>
    <w:rsid w:val="0077680E"/>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0F24"/>
    <w:rsid w:val="00B83602"/>
    <w:rsid w:val="00B841F9"/>
    <w:rsid w:val="00B8425D"/>
    <w:rsid w:val="00B93BEF"/>
    <w:rsid w:val="00BC6320"/>
    <w:rsid w:val="00BD616F"/>
    <w:rsid w:val="00BD67D8"/>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rsid w:val="007133BB"/>
    <w:pPr>
      <w:tabs>
        <w:tab w:val="left" w:pos="2430"/>
      </w:tabs>
      <w:jc w:val="left"/>
    </w:pPr>
    <w:rPr>
      <w:color w:val="auto"/>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9</TotalTime>
  <Pages>3</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8775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Scarlet globemallow (Sphaeralcea coccinea)</dc:title>
  <dc:subject>Scarlet globemallow provides good ground cover on disturbed sites. Although its value for erosion control is low to moderate, it is used in low rainfall area native seed mixtures to stabilize roadsides and other disturbed sites.</dc:subject>
  <dc:creator>Loren St. John</dc:creator>
  <cp:keywords>Sphaeralcea coccinea, scarlet globemallow, rangeland, Red false mallow, copper mallow, cowboy’s delight,forage, livestock</cp:keywords>
  <cp:lastModifiedBy>Julie DePue</cp:lastModifiedBy>
  <cp:revision>2</cp:revision>
  <cp:lastPrinted>2010-08-20T19:27:00Z</cp:lastPrinted>
  <dcterms:created xsi:type="dcterms:W3CDTF">2011-03-22T15:21:00Z</dcterms:created>
  <dcterms:modified xsi:type="dcterms:W3CDTF">2011-06-16T12:46:00Z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