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数据库搭建：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外来车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共享单车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智慧校园：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智慧交通，医务室，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color w:val="EE822F" w:themeColor="accent2"/>
          <w:sz w:val="32"/>
          <w:szCs w:val="2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sz w:val="32"/>
          <w:szCs w:val="20"/>
          <w:lang w:val="en-US" w:eastAsia="zh-CN"/>
          <w14:textFill>
            <w14:solidFill>
              <w14:schemeClr w14:val="accent2"/>
            </w14:solidFill>
          </w14:textFill>
        </w:rPr>
        <w:t>功能模块图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学生管理模块：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学生考勤记录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学生成绩查询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教职工管理模块：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教职工信息录入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教职工考勤记录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课程安排和管理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课室管理模块：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课室设备监控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课室占用情况查询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课室资源调度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智能安防模块：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摄像头监控系统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门禁系统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安全事件报警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环境监测模块：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温湿度监测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空气质量检测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能耗监控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校园网络管理模块：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无线网络管理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有线网络管理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网络安全监测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人脸识别与身份验证模块：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学生身份验证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教职工身份验证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访客管理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校园物资管理模块：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教学用具管理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实验室设备管理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校园资产统计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智能交通模块：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校园巡逻车辆追踪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学生校车管理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停车场管理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数据分析与决策支持模块：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学生学业分析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教学效果评估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校园运行情况分析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这些模块相互关联，通过物联网技术实现信息的采集、传输和处理，构建一个智能高效的校园管理系统。您可以使用图形工具或绘图软件将这些模块组织成功能模块图。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063240" cy="5372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72910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3NjIwODEzNTc3NzdhMTUzY2RmYTg5ODg0MDQxYmYifQ=="/>
  </w:docVars>
  <w:rsids>
    <w:rsidRoot w:val="0BE60102"/>
    <w:rsid w:val="0BE60102"/>
    <w:rsid w:val="600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2024-01-23T11:43:00Z</dcterms:created>
  <dc:creator>WPS_1602388789</dc:creator>
  <cp:lastModifiedBy>WPS_1602388789</cp:lastModifiedBy>
  <dcterms:modified xsi:type="dcterms:W3CDTF">2024-01-28T08:24:52Z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20AFD8EED9E748A4842AEDC0A1BBC98E_11</vt:lpwstr>
  </property>
</Properties>
</file>