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In the realm of artificial intelligence, each invention is a step into uncharted territory—an exhilarating journey where you grapple with complex problems and, with the right blend of creativity and tenacity, transform abstract ideas into tangible solutions. I've spent the last decade journeying in this intriguing world, and now, I'm eager to embark on a fresh expedition with Castor, employing my expertise to accelerate medical research.</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story begins with Meta, where I currently lead the design, training, and deployment of large-scale deep learning and transformer-based models. Here, I had the opportunity to build agentic AI prototypes that became instrumental in autonomous task execution and contextual decision-making, a feat accomplished through a combination of large language models and tool use. This experience of working in a regulated environment has honed my understanding of balancing rapid innovation with reliability and security, aligning elegantly with your need for production-grade code suitable for regulated environments.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At Meta, I've also mastered the art of integrating AI capabilities into production systems. I've built scalable ML pipelines, RESTful APIs, and architected cloud-first environments with AWS, Azure, and Google Cloud Platform. I've applied these skills to develop solutions that are not just innovative but also robust, reliable, and compliant—critical aspects for a company like Castor that deals with sensitive data and seeks to improve the clinical trial experience.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Your purpose to extend human health span by improving clinical trials resonates deeply with me. I believe my extensive experience with Python, my familiarity with event-driven architectures, and my understanding of asynchronous programming patterns can be instrumental in achieving this mission. I've spent years optimizing systems using AI tooling and workflows, ensuring high quality, speed, and accuracy while also focusing on operational robustness and comprehensive testing. This focus on quality and operational excellence, I believe, will contribute significantly to the Catalyst team at Castor, driving the development and scaling of your AI-powered applications.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Joining Castor isn't just another step in my journey; it's an opportunity to make a tangible difference in the world. I'm excited to apply my technical acumen and innovative spirit towards creating technologies that facilitate faster, smarter medical research. I eagerly look forward to discussing how we can transform the future of clinical trials together.</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