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2.xml.rels" ContentType="application/vnd.openxmlformats-package.relationships+xml"/>
  <Override PartName="/customXml/_rels/item1.xml.rels" ContentType="application/vnd.openxmlformats-package.relationships+xml"/>
  <Override PartName="/customXml/itemProps2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C6D9F1" w:themeFill="text2" w:themeFillTint="33"/>
        <w:spacing w:lineRule="auto" w:line="240" w:before="0" w:after="0"/>
        <w:jc w:val="center"/>
        <w:rPr>
          <w:rFonts w:cs="Times New Roman"/>
          <w:b/>
          <w:bCs/>
          <w:color w:themeColor="text2" w:themeShade="bf" w:val="17365D"/>
          <w:sz w:val="40"/>
          <w:szCs w:val="24"/>
          <w:lang w:val="en-US"/>
        </w:rPr>
      </w:pPr>
      <w:r>
        <w:rPr>
          <w:rFonts w:cs="Times New Roman"/>
          <w:b/>
          <w:bCs/>
          <w:color w:themeColor="text2" w:themeShade="bf" w:val="17365D"/>
          <w:sz w:val="40"/>
          <w:szCs w:val="24"/>
          <w:lang w:val="en-US"/>
        </w:rPr>
        <w:t>Jiayong Lin</w:t>
      </w:r>
    </w:p>
    <w:p>
      <w:pPr>
        <w:pStyle w:val="Normal"/>
        <w:shd w:val="clear" w:color="auto" w:fill="C6D9F1" w:themeFill="text2" w:themeFillTint="33"/>
        <w:spacing w:lineRule="auto" w:line="240" w:before="0" w:after="0"/>
        <w:jc w:val="center"/>
        <w:rPr>
          <w:rFonts w:cs="Times New Roman"/>
          <w:b/>
          <w:bCs/>
          <w:color w:themeColor="text2" w:themeShade="bf" w:val="17365D"/>
          <w:sz w:val="28"/>
          <w:szCs w:val="28"/>
          <w:lang w:val="en-US"/>
        </w:rPr>
      </w:pPr>
      <w:r>
        <w:rPr>
          <w:rFonts w:cs="Times New Roman"/>
          <w:b/>
          <w:bCs/>
          <w:color w:themeColor="text2" w:themeShade="bf" w:val="17365D"/>
          <w:sz w:val="28"/>
          <w:szCs w:val="28"/>
          <w:lang w:val="en-US"/>
        </w:rPr>
        <w:t>Machine Learning Engineer</w:t>
      </w:r>
    </w:p>
    <w:p>
      <w:pPr>
        <w:pStyle w:val="Normal"/>
        <w:shd w:val="clear" w:color="auto" w:fill="C6D9F1" w:themeFill="text2" w:themeFillTint="33"/>
        <w:spacing w:lineRule="auto" w:line="240" w:before="0" w:after="0"/>
        <w:jc w:val="center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color w:themeColor="text2" w:themeShade="bf" w:val="17365D"/>
          <w:sz w:val="20"/>
          <w:szCs w:val="20"/>
          <w:lang w:val="en-US"/>
        </w:rPr>
        <w:t xml:space="preserve">+1 </w:t>
      </w:r>
      <w:r>
        <w:rPr>
          <w:rFonts w:cs="Times New Roman"/>
          <w:color w:themeColor="text2" w:themeShade="bf" w:val="17365D"/>
          <w:sz w:val="20"/>
          <w:szCs w:val="20"/>
        </w:rPr>
        <w:t>(206) 580-3551‬</w:t>
      </w:r>
      <w:r>
        <w:rPr>
          <w:rFonts w:cs="Times New Roman"/>
        </w:rPr>
        <w:t xml:space="preserve">‬‬ | </w:t>
      </w:r>
      <w:r>
        <w:rPr>
          <w:rFonts w:cs="Times New Roman"/>
          <w:color w:themeColor="text2" w:themeShade="bf" w:val="17365D"/>
          <w:sz w:val="20"/>
          <w:szCs w:val="20"/>
          <w:lang w:val="en-US"/>
        </w:rPr>
        <w:t xml:space="preserve">Mckinney, TX 75070 | </w:t>
      </w:r>
      <w:hyperlink r:id="rId2">
        <w:r>
          <w:rPr>
            <w:rStyle w:val="Hyperlink"/>
            <w:rFonts w:cs="Times New Roman"/>
            <w:sz w:val="20"/>
            <w:szCs w:val="20"/>
          </w:rPr>
          <w:t>jiayong.lin95@gmail.com</w:t>
        </w:r>
      </w:hyperlink>
      <w:r>
        <w:rPr/>
        <w:t>‬‬‬‬‬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Style w:val="Heading3Char"/>
        </w:rPr>
        <w:t>SUMMARY</w:t>
      </w:r>
      <w:r>
        <w:rPr>
          <w:rFonts w:cs="Times New Roman"/>
          <w:bCs/>
          <w:iCs/>
          <w:sz w:val="20"/>
          <w:szCs w:val="20"/>
        </w:rPr>
        <w:br/>
      </w:r>
      <w:r>
        <w:rPr>
          <w:rFonts w:cs="Times New Roman"/>
          <w:bCs/>
          <w:iCs/>
          <w:sz w:val="20"/>
          <w:szCs w:val="20"/>
        </w:rPr>
        <w:t xml:space="preserve">Seasoned AI Engineer with 10+ years of experience developing and deploying production-grade AI solutions, including autonomous agents, generative AI applications, and RAG-based systems. Proficient in Python, LangChain/LlamaIndex, vector databases, and advanced machine learning techniques. Strong expertise in deploying solutions using containerization, CI/CD pipelines, and cloud-native architectures. Known for effective collaboration with cross-functional teams and mentoring junior team members, with a strong adherence to data privacy and security best practices.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Style w:val="Heading3Char"/>
        </w:rPr>
        <w:t>SKILLS</w:t>
      </w:r>
      <w:r>
        <w:rPr>
          <w:rFonts w:cs="Times New Roman"/>
          <w:bCs/>
          <w:iCs/>
          <w:sz w:val="20"/>
          <w:szCs w:val="20"/>
        </w:rPr>
        <w:br/>
      </w:r>
      <w:r>
        <w:rPr>
          <w:rFonts w:cs="Times New Roman"/>
          <w:bCs/>
          <w:iCs/>
          <w:sz w:val="20"/>
          <w:szCs w:val="20"/>
        </w:rPr>
        <w:t xml:space="preserve">• AI &amp; Machine Learning: Generative AI · Autonomous AI Agents · RAG Systems · Large Language Models (LLMs) · Supervised &amp; Unsupervised Learning · Deep Learning · NLP · Model Training &amp; Deployment · Model Optimization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AI/ML Platforms: Snowflake · Azure · AWS · OpenAI · Databricks · Anthropic Claude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GenAI Frameworks: LangGraph · AutoGen · CrewAI · OpenAI Assistants API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AI Evaluation: RAGAs · TruLens · DeepEval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Programming: Python · LangChain/LlamaIndex · Vector Databases (Pinecone, Weaviate, Chroma, pgvector, Snowflake)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Cloud &amp; Infrastructure: AWS · Azure · Google Cloud Platform · Terraform (IaC) · Kubernetes · Docker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MLOps &amp; DevOps: CI/CD (GitHub Actions, Azure DevOps, Jenkins) · GitHub · ML Pipelines · Model Versioning · Automated Testing · Observability · Infrastructure Automation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Backend &amp; APIs: RESTful APIs · Microservices · FastAPI · gRPC · Distributed Systems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Collaboration: Code Reviews · Cross-functional Collaboration · Technical Leadership · Agile/Scrum · Stakeholder Communication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Data Engineering: Data Preprocessing · Feature Engineering · Data Warehousing · BigQuery · Apache Beam · Dataflow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3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r>
        <w:rPr/>
        <w:t>PROFESSIONAL EXPERIENCE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Machine Learning Engineer | Meta | Dallas, TX | Jul 2022 – Present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AI Engineer | Meta | Dallas, TX | Jul 2022 – Present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Designed and deployed autonomous AI agents using frameworks like LangGraph and CrewAI for multi-step reasoning and task execution.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Implemented function calling, tool use, and API integrations enabling LLMs to interact with enterprise systems, databases, and external applications.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Developed generative AI solutions for text generation and summarization using LLMs and advanced machine learning techniques.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Deployed production solutions using containerization (Docker, Kubernetes), CI/CD pipelines, and cloud-native architectures on AWS and GCP.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Continuously monitored the performance of AI solutions and implemented improvements while adhering to best practices in data privacy and security.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Collaborated with cross-functional teams to identify and prioritize high-impact AI opportunities that drive significant business value.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Mentored and provided guidance to junior team members; participated in code reviews and maintained high-quality engineering standards.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Stayed updated with advances in AI technology and found opportunities to upgrade existing solutions.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 Python · LangChain/LlamaIndex · LLMs · Generative AI · Autonomous AI Agents · LangGraph · CrewAI · FastAPI · RESTful APIs · Kubernetes · Docker · AWS · GCP · Terraform · GitHub · CI/CD · ML Pipelines · MLOps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5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6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Machine Learning Engineer | The Michaels Companies, Inc | Irving, TX | Aug 2020 – Jul 2022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Machine Learning Engineer | The Michaels Companies, Inc | Irving, TX | Aug 2020 – Jul 2022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Designed and implemented machine learning algorithms for recommendation systems and customer segmentation.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Built scalable ETL and feature engineering pipelines using Python, Pandas, SQL, Apache Beam, and BigQuery to support model training and real-time inference.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Deployed deep learning and gradient-boosting models to production using Docker and Kubernetes.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Developed RESTful microservices to integrate AI models directly into web and mobile applications.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Established CI/CD pipelines in GitHub and Azure DevOps for automated model testing, containerization, and cloud deployment.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Migrated ML workloads to Google Cloud Platform and Azure, provisioning infrastructure with Terraform to improve scalability and reduce operational overhead.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 Python · Pandas · NumPy · PyTorch · TensorFlow · SQL · BigQuery · Apache Beam · GCP · Azure · Terraform · Docker · Kubernetes · RESTful APIs · GitHub · CI/CD · ETL Pipelines · MLOps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7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8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Data Scientist | University of Maryland, Baltimore County | Baltimore, MD | Feb 2018 – May 2020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Data Scientist | University of Maryland, Baltimore County | Baltimore, MD | Feb 2018 – May 2020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Designed and trained supervised and unsupervised machine learning models using Python, TensorFlow, Pandas, and NumPy to analyze large academic and operational datasets.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Built reproducible ML pipelines for preprocessing, model evaluation, and hyperparameter tuning.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Developed data warehousing and SQL-based data integration processes to support analytics and predictive modeling initiatives.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Collaborated with research and IT teams to deploy analytical tools via internal web services and dashboards.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Presented findings to technical and non-technical stakeholders, translating complex ML concepts into actionable insights.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 Python · Pandas · NumPy · TensorFlow · SQL · ML Pipelines · Data Warehousing · Model Evaluation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9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0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/>
          <w:iCs/>
          <w:sz w:val="20"/>
          <w:szCs w:val="20"/>
        </w:rPr>
      </w:pPr>
      <w:r>
        <w:rPr>
          <w:rFonts w:cs="Times New Roman"/>
          <w:b/>
          <w:iCs/>
          <w:sz w:val="20"/>
          <w:szCs w:val="20"/>
        </w:rPr>
        <w:t>Research Assistant | University of Maryland, Baltimore County | Baltimore, MD | Sep 2016 – Feb 2018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 xml:space="preserve">Research Assistant | University of Maryland, Baltimore County | Baltimore, MD | Sep 2016 – Feb 2018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Assisted in developing predictive models for cybersecurity anomaly detection using supervised learning and NLP techniques.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Implemented data preprocessing and feature extraction pipelines in Python, leveraging Pandas and NumPy for large-scale datasets.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Experimented with early deep learning architectures and contributed to performance benchmarking and documentation.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• Used Git for version control and collaborated with faculty and graduate researchers in structured code reviews.</w:t>
      </w:r>
      <w:r>
        <w:br/>
      </w:r>
      <w:r>
        <w:rPr>
          <w:rFonts w:cs="Times New Roman"/>
          <w:bCs/>
          <w:iCs/>
          <w:sz w:val="20"/>
          <w:szCs w:val="20"/>
        </w:rPr>
        <w:t xml:space="preserve">Technologies &amp; Skills: Python · Pandas · NumPy · TensorFlow · SQL · Git · NLP · Data Preprocessing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/>
        <mc:AlternateContent>
          <mc:Choice Requires="wps">
            <w:drawing>
              <wp:inline distT="0" distB="0" distL="0" distR="0">
                <wp:extent cx="6858000" cy="9525"/>
                <wp:effectExtent l="0" t="0" r="0" b="0"/>
                <wp:docPr id="11" name="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12" name=""/>
                        <wps:cNvSpPr/>
                      </wps:nvSpPr>
                      <wps:spPr>
                        <a:xfrm>
                          <a:off x="0" y="0"/>
                          <a:ext cx="6858000" cy="936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fillcolor="#a0a0a0" stroked="f" o:allowincell="f" style="position:absolute;margin-left:0pt;margin-top:-0.8pt;width:539.95pt;height:0.7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Heading2"/>
        <w:rPr/>
      </w:pPr>
      <w:r>
        <w:rPr/>
        <w:t>EDUCATION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>Master’s degree in Computer Science</w:t>
        <w:br/>
        <w:t>University of Maryland – College Park, MD | 2018 – 2020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  <w:t>Bachelor’s degree in Computer Science</w:t>
        <w:br/>
        <w:t>University of Maryland, Baltimore County – Baltimore, MD | 2013 – 2017</w:t>
      </w:r>
    </w:p>
    <w:p>
      <w:pPr>
        <w:pStyle w:val="Normal"/>
        <w:tabs>
          <w:tab w:val="clear" w:pos="720"/>
          <w:tab w:val="left" w:pos="4580" w:leader="none"/>
        </w:tabs>
        <w:spacing w:lineRule="auto" w:line="240" w:before="0" w:after="0"/>
        <w:rPr>
          <w:rFonts w:cs="Times New Roman"/>
          <w:bCs/>
          <w:iCs/>
          <w:sz w:val="20"/>
          <w:szCs w:val="20"/>
        </w:rPr>
      </w:pPr>
      <w:r>
        <w:rPr>
          <w:rFonts w:cs="Times New Roman"/>
          <w:bCs/>
          <w:iCs/>
          <w:sz w:val="20"/>
          <w:szCs w:val="20"/>
        </w:rPr>
      </w:r>
    </w:p>
    <w:sectPr>
      <w:footerReference w:type="even" r:id="rId3"/>
      <w:footerReference w:type="default" r:id="rId4"/>
      <w:footerReference w:type="first" r:id="rId5"/>
      <w:type w:val="nextPage"/>
      <w:pgSz w:w="12240" w:h="15840"/>
      <w:pgMar w:left="720" w:right="720" w:gutter="0" w:header="0" w:top="720" w:footer="284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mbria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AutoText"/>
        <w:docPartGallery w:val="AutoText"/>
      </w:docPartObj>
      <w:id w:val="-1769616900"/>
    </w:sdtPr>
    <w:sdtContent>
      <w:p>
        <w:pPr>
          <w:pStyle w:val="Footer"/>
          <w:jc w:val="right"/>
          <w:rPr/>
        </w:pPr>
        <w:r>
          <w:rPr/>
          <w:t xml:space="preserve">Page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PAGE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  <w:r>
          <w:rPr/>
          <w:t xml:space="preserve"> of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NUMPAGES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</w:p>
    </w:sdtContent>
  </w:sdt>
  <w:p>
    <w:pPr>
      <w:pStyle w:val="Footer"/>
      <w:jc w:val="right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AutoText"/>
        <w:docPartGallery w:val="AutoText"/>
      </w:docPartObj>
      <w:id w:val="-1769616900"/>
    </w:sdtPr>
    <w:sdtContent>
      <w:p>
        <w:pPr>
          <w:pStyle w:val="Footer"/>
          <w:jc w:val="right"/>
          <w:rPr/>
        </w:pPr>
        <w:r>
          <w:rPr/>
          <w:t xml:space="preserve">Page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PAGE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  <w:r>
          <w:rPr/>
          <w:t xml:space="preserve"> of </w:t>
        </w:r>
        <w:r>
          <w:rPr>
            <w:b/>
            <w:bCs/>
            <w:szCs w:val="24"/>
          </w:rPr>
          <w:fldChar w:fldCharType="begin"/>
        </w:r>
        <w:r>
          <w:rPr>
            <w:b/>
            <w:szCs w:val="24"/>
            <w:bCs/>
          </w:rPr>
          <w:instrText xml:space="preserve"> NUMPAGES </w:instrText>
        </w:r>
        <w:r>
          <w:rPr>
            <w:b/>
            <w:szCs w:val="24"/>
            <w:bCs/>
          </w:rPr>
          <w:fldChar w:fldCharType="separate"/>
        </w:r>
        <w:r>
          <w:rPr>
            <w:b/>
            <w:szCs w:val="24"/>
            <w:bCs/>
          </w:rPr>
          <w:t>1</w:t>
        </w:r>
        <w:r>
          <w:rPr>
            <w:b/>
            <w:szCs w:val="24"/>
            <w:bCs/>
          </w:rPr>
          <w:fldChar w:fldCharType="end"/>
        </w:r>
      </w:p>
    </w:sdtContent>
  </w:sdt>
  <w:p>
    <w:pPr>
      <w:pStyle w:val="Footer"/>
      <w:jc w:val="right"/>
      <w:rPr/>
    </w:pPr>
    <w:r>
      <w:rPr/>
    </w:r>
  </w:p>
</w:ftr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Times New Roman" w:hAnsi="Times New Roman" w:eastAsia="Calibri" w:cs="Arial" w:cstheme="minorBidi" w:eastAsiaTheme="minorHAnsi"/>
      <w:color w:val="auto"/>
      <w:kern w:val="0"/>
      <w:sz w:val="24"/>
      <w:szCs w:val="22"/>
      <w:lang w:val="en-US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7012"/>
    <w:pPr>
      <w:keepNext w:val="true"/>
      <w:keepLines/>
      <w:spacing w:before="40" w:after="0"/>
      <w:outlineLvl w:val="1"/>
    </w:pPr>
    <w:rPr>
      <w:rFonts w:ascii="Cambria" w:hAnsi="Cambria" w:eastAsia="宋体" w:cs="Times New Roman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542ce"/>
    <w:pPr>
      <w:keepNext w:val="true"/>
      <w:keepLines/>
      <w:spacing w:before="40" w:after="0"/>
      <w:outlineLvl w:val="2"/>
    </w:pPr>
    <w:rPr>
      <w:rFonts w:ascii="Cambria" w:hAnsi="Cambria" w:eastAsia="宋体" w:cs="Times New Roman" w:asciiTheme="majorHAnsi" w:cstheme="majorBidi" w:eastAsiaTheme="majorEastAsia" w:hAnsiTheme="majorHAnsi"/>
      <w:color w:themeColor="accent1" w:themeShade="7f" w:val="243F60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Pr>
      <w:color w:themeColor="hyperlink" w:val="0000FF"/>
      <w:u w:val="single"/>
    </w:rPr>
  </w:style>
  <w:style w:type="character" w:styleId="FooterChar" w:customStyle="1">
    <w:name w:val="Footer Char"/>
    <w:basedOn w:val="DefaultParagraphFont"/>
    <w:link w:val="Footer"/>
    <w:uiPriority w:val="99"/>
    <w:qFormat/>
    <w:rPr>
      <w:rFonts w:ascii="Times New Roman" w:hAnsi="Times New Roman"/>
      <w:sz w:val="24"/>
    </w:rPr>
  </w:style>
  <w:style w:type="character" w:styleId="UnresolvedMention1" w:customStyle="1">
    <w:name w:val="Unresolved Mention1"/>
    <w:basedOn w:val="DefaultParagraphFont"/>
    <w:uiPriority w:val="99"/>
    <w:semiHidden/>
    <w:unhideWhenUsed/>
    <w:qFormat/>
    <w:rPr>
      <w:color w:val="605E5C"/>
      <w:shd w:fill="E1DFDD" w:val="clear"/>
    </w:rPr>
  </w:style>
  <w:style w:type="character" w:styleId="HeaderChar" w:customStyle="1">
    <w:name w:val="Header Char"/>
    <w:basedOn w:val="DefaultParagraphFont"/>
    <w:link w:val="Header"/>
    <w:uiPriority w:val="99"/>
    <w:qFormat/>
    <w:rPr>
      <w:rFonts w:ascii="Times New Roman" w:hAnsi="Times New Roman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683f30"/>
    <w:rPr>
      <w:color w:val="605E5C"/>
      <w:shd w:fill="E1DFDD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a053b0"/>
    <w:rPr>
      <w:color w:themeColor="followedHyperlink" w:val="800080"/>
      <w:u w:val="single"/>
    </w:rPr>
  </w:style>
  <w:style w:type="character" w:styleId="relative" w:customStyle="1">
    <w:name w:val="relative"/>
    <w:basedOn w:val="DefaultParagraphFont"/>
    <w:qFormat/>
    <w:rsid w:val="006b2384"/>
    <w:rPr/>
  </w:style>
  <w:style w:type="character" w:styleId="ListParagraphChar" w:customStyle="1">
    <w:name w:val="List Paragraph Char"/>
    <w:link w:val="ListParagraph"/>
    <w:qFormat/>
    <w:locked/>
    <w:rsid w:val="00e02e6e"/>
    <w:rPr>
      <w:rFonts w:ascii="Times New Roman" w:hAnsi="Times New Roman"/>
      <w:sz w:val="24"/>
      <w:szCs w:val="22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3f7012"/>
    <w:rPr>
      <w:rFonts w:ascii="Cambria" w:hAnsi="Cambria" w:eastAsia="宋体" w:cs="Times New Roman" w:asciiTheme="majorHAnsi" w:cstheme="majorBidi" w:eastAsiaTheme="majorEastAsia" w:hAnsiTheme="majorHAnsi"/>
      <w:color w:themeColor="accent1" w:themeShade="bf" w:val="365F9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e542ce"/>
    <w:rPr>
      <w:rFonts w:ascii="Cambria" w:hAnsi="Cambria" w:eastAsia="宋体" w:cs="Times New Roman" w:asciiTheme="majorHAnsi" w:cstheme="majorBidi" w:eastAsiaTheme="majorEastAsia" w:hAnsiTheme="majorHAnsi"/>
      <w:color w:themeColor="accent1" w:themeShade="7f" w:val="243F60"/>
      <w:sz w:val="24"/>
      <w:szCs w:val="24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Header">
    <w:name w:val="Header"/>
    <w:basedOn w:val="Normal"/>
    <w:link w:val="HeaderChar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ListParagraphChar"/>
    <w:qFormat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semiHidden/>
    <w:unhideWhenUsed/>
    <w:qFormat/>
    <w:rsid w:val="002830f5"/>
    <w:pPr/>
    <w:rPr>
      <w:rFonts w:cs="Times New Roman"/>
      <w:szCs w:val="24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mailto:jeff.wang933@gmail.com" TargetMode="External"/><Relationship Id="rId3" Type="http://schemas.openxmlformats.org/officeDocument/2006/relationships/footer" Target="footer1.xml"/><Relationship Id="rId4" Type="http://schemas.openxmlformats.org/officeDocument/2006/relationships/footer" Target="footer2.xml"/><Relationship Id="rId5" Type="http://schemas.openxmlformats.org/officeDocument/2006/relationships/footer" Target="footer3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customXml" Target="../customXml/item2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E8D2284A-8962-4EAA-80A9-EE48C94120AE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7768</TotalTime>
  <Application>LibreOffice/24.2.7.2$Linux_X86_64 LibreOffice_project/420$Build-2</Application>
  <AppVersion>15.0000</AppVersion>
  <Pages>1</Pages>
  <Words>126</Words>
  <Characters>734</Characters>
  <CharactersWithSpaces>842</CharactersWithSpaces>
  <Paragraphs>24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2024-10-18T15:24:00Z</dcterms:created>
  <dc:creator>Roh</dc:creator>
  <dc:description/>
  <dc:language>en-US</dc:language>
  <cp:lastModifiedBy/>
  <cp:lastPrinted>2025-06-13T18:48:00Z</cp:lastPrinted>
  <dcterms:modified xsi:type="dcterms:W3CDTF">2026-02-12T23:54:54Z</dcterms:modified>
  <cp:revision>385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6660a8af2111f15611b8c02e457c211ca44171b87f173df846680d0847711fbd</vt:lpwstr>
  </property>
  <property fmtid="{D5CDD505-2E9C-101B-9397-08002B2CF9AE}" pid="3" name="ICV">
    <vt:lpwstr>2CAAA39AF3CB47CFB69B47A994C262BD_12</vt:lpwstr>
  </property>
  <property fmtid="{D5CDD505-2E9C-101B-9397-08002B2CF9AE}" pid="4" name="KSOProductBuildVer">
    <vt:lpwstr>1033-12.2.0.13431</vt:lpwstr>
  </property>
</Properties>
</file>