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My professional journey began by peering into the complex algorithms that are the heart of artificial intelligence, and over the past decade, I've trained and deployed machine learning systems that have reshaped industries. Now, I find myself captivated by the innovative approach KoBold Metals takes in using AI to revolutionize mineral exploration. As I stand at the intersection of AI, earth science, and your vision, I'm eager to bring my expertise in machine learning to the position of Applied Scientist, together making valuable discoveries for the future.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Working with Meta in Dallas, where I've been deeply involved in designing, training, and deploying large-scale deep learning models, has been a lesson in the infinite possibilities of AI. We used these models to support conversational AI and multimodal systems across the platforms. Much like your team at KoBold, we leveraged AI, simulated sensor performance, and characterized and calibrated new data acquisition systems. This experience directly resonates with your need for someone able to design and deploy new mineral exploration data collection instruments.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One of my most exciting projects was the development of agentic AI prototypes. These self-governing systems combined large language model reasoning with tool use, enabling autonomous task execution and contextual decision-making. The unique challenge of building these prototypes reminded me of the intricacies of mineral exploration. I relish the opportunity to apply my knowledge of machine learning to construct models that predict the locations of ore-grade mineralization in 2D and 3D. Alongside this, I have extensive experience working with Python’s data science packages, SQL, cloud computing resources, and other tools necessary for this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Innovation has always fascinated me, but it's the impact of that innovation that drives me. The thought of being part of something as significant as KoBold's mission to accelerate the discovery of critical battery metals is thrilling. I am genuinely excited about the opportunity to not only push the frontiers of AI but to do so for a cause that is both socially and environmentally impactful. Leveraging machine learning in a novel and challenging domain like mineral exploration is an enticing prospect, and I'm eager to work with your renowned team of geoscientists to help KoBold make valuable discoveries.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