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5413"/>
        <w:gridCol w:w="120"/>
        <w:gridCol w:w="5413"/>
      </w:tblGrid>
      <w:tr>
        <w:tc>
          <w:tcPr>
            <w:tcW w:type="dxa" w:w="5413"/>
            <w:tcBorders>
              <w:top w:val="none" w:color="FFFFFF" w:sz="0"/>
              <w:left w:val="none" w:color="FFFFFF" w:sz="0"/>
              <w:bottom w:val="none" w:color="FFFFFF" w:sz="0"/>
              <w:right w:val="none" w:color="FFFFFF" w:sz="0"/>
            </w:tcBorders>
            <w:tcMar>
              <w:top w:type="dxa" w:w="0"/>
              <w:left w:type="dxa" w:w="60"/>
              <w:bottom w:type="dxa" w:w="0"/>
              <w:right w:type="dxa" w:w="60"/>
            </w:tcMar>
          </w:tcPr>
          <w:p>
            <w:pPr>
              <w:spacing w:before="56" w:after="16"/>
            </w:pPr>
            <w:r>
              <w:rPr>
                <w:rFonts w:ascii="Arial" w:cs="Arial" w:eastAsia="Arial" w:hAnsi="Arial"/>
                <w:b/>
                <w:bCs/>
                <w:color w:val="E8720A"/>
                <w:sz w:val="15"/>
                <w:szCs w:val="15"/>
              </w:rPr>
              <w:t xml:space="preserve">I. ÚVODNÉ USTANOVENIA</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Tieto VPPM tvoria neoddeliteľnú súčasť Zmluvy o prenájme hnuteľných vecí uzatvorenej medzi ROYAL STROJE s.r.o. (Prenajímateľ) a Nájomcom.</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VPPM sú záväzné podpisom Zmluvy oboma stranami. Zverejnenie na webe nenahrádza písomný súhlas.</w:t>
            </w:r>
          </w:p>
          <w:p>
            <w:pPr>
              <w:spacing w:before="10" w:after="10"/>
              <w:ind w:left="280" w:hanging="200"/>
              <w:jc w:val="both"/>
            </w:pPr>
            <w:r>
              <w:rPr>
                <w:rFonts w:ascii="Arial" w:cs="Arial" w:eastAsia="Arial" w:hAnsi="Arial"/>
                <w:b/>
                <w:bCs/>
                <w:color w:val="E8720A"/>
                <w:sz w:val="14"/>
                <w:szCs w:val="14"/>
              </w:rPr>
              <w:t xml:space="preserve">3. </w:t>
            </w:r>
            <w:r>
              <w:rPr>
                <w:rFonts w:ascii="Arial" w:cs="Arial" w:eastAsia="Arial" w:hAnsi="Arial"/>
                <w:color w:val="111111"/>
                <w:sz w:val="14"/>
                <w:szCs w:val="14"/>
              </w:rPr>
              <w:t xml:space="preserve">V prípade rozporu má prednosť Zmluva. Vzťahy neupravené VPPM ani Zmluvou sa riadia Obchodným zákonníkom č. 513/1991 Zb.</w:t>
            </w:r>
          </w:p>
          <w:p>
            <w:pPr>
              <w:spacing w:before="10" w:after="10"/>
              <w:ind w:left="280" w:hanging="200"/>
              <w:jc w:val="both"/>
            </w:pPr>
            <w:r>
              <w:rPr>
                <w:rFonts w:ascii="Arial" w:cs="Arial" w:eastAsia="Arial" w:hAnsi="Arial"/>
                <w:b/>
                <w:bCs/>
                <w:color w:val="E8720A"/>
                <w:sz w:val="14"/>
                <w:szCs w:val="14"/>
              </w:rPr>
              <w:t xml:space="preserve">4. </w:t>
            </w:r>
            <w:r>
              <w:rPr>
                <w:rFonts w:ascii="Arial" w:cs="Arial" w:eastAsia="Arial" w:hAnsi="Arial"/>
                <w:color w:val="111111"/>
                <w:sz w:val="14"/>
                <w:szCs w:val="14"/>
              </w:rPr>
              <w:t xml:space="preserve">Tieto VPPM sú určené výlučne pre podnikateľov (PO a SZČO).</w:t>
            </w:r>
          </w:p>
          <w:p>
            <w:pPr>
              <w:spacing w:before="56" w:after="16"/>
            </w:pPr>
            <w:r>
              <w:rPr>
                <w:rFonts w:ascii="Arial" w:cs="Arial" w:eastAsia="Arial" w:hAnsi="Arial"/>
                <w:b/>
                <w:bCs/>
                <w:color w:val="E8720A"/>
                <w:sz w:val="15"/>
                <w:szCs w:val="15"/>
              </w:rPr>
              <w:t xml:space="preserve">II. PREDMET PRENÁJMU</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PP je špecifikovaný v Zmluve vrátane identifikácie, výrobného čísla, príslušenstva a sadzby.</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PP je odovzdávaný v stave zodpovedajúcom jeho veku, opotrebeniu a účelu. Nájomca prevzatie potvrdzuje podpisom; výhrady musia byť uvedené v preberacom protokole.</w:t>
            </w:r>
          </w:p>
          <w:p>
            <w:pPr>
              <w:spacing w:before="56" w:after="16"/>
            </w:pPr>
            <w:r>
              <w:rPr>
                <w:rFonts w:ascii="Arial" w:cs="Arial" w:eastAsia="Arial" w:hAnsi="Arial"/>
                <w:b/>
                <w:bCs/>
                <w:color w:val="E8720A"/>
                <w:sz w:val="15"/>
                <w:szCs w:val="15"/>
              </w:rPr>
              <w:t xml:space="preserve">III. DOBA PRENÁJMU</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Prenájom začína dňom a časom uvedeným v Zmluve a trvá do riadneho fyzického vrátenia PP a jeho protokolárneho prevzatia Prenajímateľom. Odstavenie PP pred prevádzkou bez protokolárneho prevzatia sa za vrátenie nepovažuje.</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Nevrátenie v termíne sa považuje za neoprávnené užívanie a zakladá skutkovú podstatu trestného činu.</w:t>
            </w:r>
          </w:p>
          <w:p>
            <w:pPr>
              <w:spacing w:before="56" w:after="16"/>
            </w:pPr>
            <w:r>
              <w:rPr>
                <w:rFonts w:ascii="Arial" w:cs="Arial" w:eastAsia="Arial" w:hAnsi="Arial"/>
                <w:b/>
                <w:bCs/>
                <w:color w:val="E8720A"/>
                <w:sz w:val="15"/>
                <w:szCs w:val="15"/>
              </w:rPr>
              <w:t xml:space="preserve">IV. MIESTO UŽÍVANIA A ZÁKAZ PRENOSU</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PP sa môže používať výlučne na mieste uvedenom v Zmluve. Premiestnenie bez písomného súhlasu Prenajímateľa zakladá nárok na zmluvnú pokutu 200 EUR/prípad.</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Subprenájom alebo umožnenie užívania PP tretej osobe je možné výlučne s písomným súhlasom Prenajímateľa.</w:t>
            </w:r>
          </w:p>
          <w:p>
            <w:pPr>
              <w:spacing w:before="10" w:after="10"/>
              <w:ind w:left="280" w:hanging="200"/>
              <w:jc w:val="both"/>
            </w:pPr>
            <w:r>
              <w:rPr>
                <w:rFonts w:ascii="Arial" w:cs="Arial" w:eastAsia="Arial" w:hAnsi="Arial"/>
                <w:b/>
                <w:bCs/>
                <w:color w:val="E8720A"/>
                <w:sz w:val="14"/>
                <w:szCs w:val="14"/>
              </w:rPr>
              <w:t xml:space="preserve">3. </w:t>
            </w:r>
            <w:r>
              <w:rPr>
                <w:rFonts w:ascii="Arial" w:cs="Arial" w:eastAsia="Arial" w:hAnsi="Arial"/>
                <w:color w:val="111111"/>
                <w:sz w:val="14"/>
                <w:szCs w:val="14"/>
              </w:rPr>
              <w:t xml:space="preserve">Nájomca nesmie bez písomného súhlasu Prenajímateľa vykonávať akékoľvek zmeny, úpravy ani zásahy do PP (vrátane vŕtania, lepenia, inštalácií). Porušenie = zmluvná pokuta 200 EUR + náhrada škody.</w:t>
            </w:r>
          </w:p>
          <w:p>
            <w:pPr>
              <w:spacing w:before="10" w:after="10"/>
              <w:ind w:left="280" w:hanging="200"/>
              <w:jc w:val="both"/>
            </w:pPr>
            <w:r>
              <w:rPr>
                <w:rFonts w:ascii="Arial" w:cs="Arial" w:eastAsia="Arial" w:hAnsi="Arial"/>
                <w:b/>
                <w:bCs/>
                <w:color w:val="E8720A"/>
                <w:sz w:val="14"/>
                <w:szCs w:val="14"/>
              </w:rPr>
              <w:t xml:space="preserve">4. </w:t>
            </w:r>
            <w:r>
              <w:rPr>
                <w:rFonts w:ascii="Arial" w:cs="Arial" w:eastAsia="Arial" w:hAnsi="Arial"/>
                <w:color w:val="111111"/>
                <w:sz w:val="14"/>
                <w:szCs w:val="14"/>
              </w:rPr>
              <w:t xml:space="preserve">Nájomca je povinný umožniť Prenajímateľovi kedykoľvek prístup k PP za účelom kontroly stavu a dodržiavania podmienok Zmluvy.</w:t>
            </w:r>
          </w:p>
          <w:p>
            <w:pPr>
              <w:spacing w:before="56" w:after="16"/>
            </w:pPr>
            <w:r>
              <w:rPr>
                <w:rFonts w:ascii="Arial" w:cs="Arial" w:eastAsia="Arial" w:hAnsi="Arial"/>
                <w:b/>
                <w:bCs/>
                <w:color w:val="E8720A"/>
                <w:sz w:val="15"/>
                <w:szCs w:val="15"/>
              </w:rPr>
              <w:t xml:space="preserve">V. FAKTURÁCIA A PLATOBNÉ PODMIENKY</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Nájomné je fakturované po ukončení prenájmu. Pri prenájme dlhšom ako 1 mesiac môže Prenajímateľ fakturovať priebežne (spravidla mesačne). Nevystavenie priebežnej faktúry nemá vplyv na vznik nároku na nájomné.</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Splatnosť faktúr: 14 dní od vystavenia, ak nie je dohodnuté inak.</w:t>
            </w:r>
          </w:p>
          <w:p>
            <w:pPr>
              <w:spacing w:before="10" w:after="10"/>
              <w:ind w:left="280" w:hanging="200"/>
              <w:jc w:val="both"/>
            </w:pPr>
            <w:r>
              <w:rPr>
                <w:rFonts w:ascii="Arial" w:cs="Arial" w:eastAsia="Arial" w:hAnsi="Arial"/>
                <w:b/>
                <w:bCs/>
                <w:color w:val="E8720A"/>
                <w:sz w:val="14"/>
                <w:szCs w:val="14"/>
              </w:rPr>
              <w:t xml:space="preserve">3. </w:t>
            </w:r>
            <w:r>
              <w:rPr>
                <w:rFonts w:ascii="Arial" w:cs="Arial" w:eastAsia="Arial" w:hAnsi="Arial"/>
                <w:color w:val="111111"/>
                <w:sz w:val="14"/>
                <w:szCs w:val="14"/>
              </w:rPr>
              <w:t xml:space="preserve">Pri omeškaní: úrok z omeškania 0,05 % denne z dlžnej sumy (§ 369 OBZ). Tým nie je dotknuté právo na náhradu škody v plnej výške.</w:t>
            </w:r>
          </w:p>
          <w:p>
            <w:pPr>
              <w:spacing w:before="10" w:after="10"/>
              <w:ind w:left="280" w:hanging="200"/>
              <w:jc w:val="both"/>
            </w:pPr>
            <w:r>
              <w:rPr>
                <w:rFonts w:ascii="Arial" w:cs="Arial" w:eastAsia="Arial" w:hAnsi="Arial"/>
                <w:b/>
                <w:bCs/>
                <w:color w:val="E8720A"/>
                <w:sz w:val="14"/>
                <w:szCs w:val="14"/>
              </w:rPr>
              <w:t xml:space="preserve">4. </w:t>
            </w:r>
            <w:r>
              <w:rPr>
                <w:rFonts w:ascii="Arial" w:cs="Arial" w:eastAsia="Arial" w:hAnsi="Arial"/>
                <w:color w:val="111111"/>
                <w:sz w:val="14"/>
                <w:szCs w:val="14"/>
              </w:rPr>
              <w:t xml:space="preserve">Prenajímateľ je oprávnený postúpiť pohľadávky z tejto Zmluvy tretej osobe bez súhlasu Nájomcu; o postúpení je povinný Nájomcu písomne informovať. Nájomca nie je oprávnený postúpiť práva zo Zmluvy bez písomného súhlasu Prenajímateľa.</w:t>
            </w:r>
          </w:p>
          <w:p>
            <w:pPr>
              <w:spacing w:before="56" w:after="16"/>
            </w:pPr>
            <w:r>
              <w:rPr>
                <w:rFonts w:ascii="Arial" w:cs="Arial" w:eastAsia="Arial" w:hAnsi="Arial"/>
                <w:b/>
                <w:bCs/>
                <w:color w:val="E8720A"/>
                <w:sz w:val="15"/>
                <w:szCs w:val="15"/>
              </w:rPr>
              <w:t xml:space="preserve">VI. KAUCIA (ZÁBEZPEKA)</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Ak bola dohodnutá zábezpeka, Prenajímateľ je oprávnený ju započítať na: neuhradené nájomné, náhradu škody, náklady na čistenie a opravy, iné pohľadávky zo Zmluvy.</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Zostatok zábezpeky bude vrátený do 14 dní od úplného vysporiadania všetkých záväzkov Nájomcu.</w:t>
            </w:r>
          </w:p>
          <w:p>
            <w:pPr>
              <w:spacing w:before="10" w:after="10"/>
              <w:ind w:left="280" w:hanging="200"/>
              <w:jc w:val="both"/>
            </w:pPr>
            <w:r>
              <w:rPr>
                <w:rFonts w:ascii="Arial" w:cs="Arial" w:eastAsia="Arial" w:hAnsi="Arial"/>
                <w:b/>
                <w:bCs/>
                <w:color w:val="E8720A"/>
                <w:sz w:val="14"/>
                <w:szCs w:val="14"/>
              </w:rPr>
              <w:t xml:space="preserve">3. </w:t>
            </w:r>
            <w:r>
              <w:rPr>
                <w:rFonts w:ascii="Arial" w:cs="Arial" w:eastAsia="Arial" w:hAnsi="Arial"/>
                <w:color w:val="111111"/>
                <w:sz w:val="14"/>
                <w:szCs w:val="14"/>
              </w:rPr>
              <w:t xml:space="preserve">Prenajímateľ môže počas prenájmu požadovať navýšenie zábezpeky, ak sa preukázateľne zvýšilo riziko poškodenia alebo straty PP.</w:t>
            </w:r>
          </w:p>
          <w:p>
            <w:pPr>
              <w:spacing w:before="56" w:after="16"/>
            </w:pPr>
            <w:r>
              <w:rPr>
                <w:rFonts w:ascii="Arial" w:cs="Arial" w:eastAsia="Arial" w:hAnsi="Arial"/>
                <w:b/>
                <w:bCs/>
                <w:color w:val="E8720A"/>
                <w:sz w:val="15"/>
                <w:szCs w:val="15"/>
              </w:rPr>
              <w:t xml:space="preserve">VII. ZODPOVEDNOSŤ NÁJOMCU</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Nájomca zodpovedá za PP od prevzatia až do riadneho vrátenia, vrátane zodpovednosti za škody tretích osôb s prístupom k PP.</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Nájomca zodpovedá za škody nad rámec bežného opotrebenia. Pri strate, zničení alebo odcudzení je povinný uhradiť obstarávaciu cenu nového porovnateľného PP ku dňu vzniku škody. Hodnota PP sa pri spore určí znaleckým posudkom; náklady znáša strana, ktorej tvrdenie sa nepreukáže.</w:t>
            </w:r>
          </w:p>
          <w:p>
            <w:pPr>
              <w:spacing w:before="10" w:after="10"/>
              <w:ind w:left="280" w:hanging="200"/>
              <w:jc w:val="both"/>
            </w:pPr>
            <w:r>
              <w:rPr>
                <w:rFonts w:ascii="Arial" w:cs="Arial" w:eastAsia="Arial" w:hAnsi="Arial"/>
                <w:b/>
                <w:bCs/>
                <w:color w:val="E8720A"/>
                <w:sz w:val="14"/>
                <w:szCs w:val="14"/>
              </w:rPr>
              <w:t xml:space="preserve">3. </w:t>
            </w:r>
            <w:r>
              <w:rPr>
                <w:rFonts w:ascii="Arial" w:cs="Arial" w:eastAsia="Arial" w:hAnsi="Arial"/>
                <w:color w:val="111111"/>
                <w:sz w:val="14"/>
                <w:szCs w:val="14"/>
              </w:rPr>
              <w:t xml:space="preserve">Nájomca je povinný bezodkladne (najneskôr do 4 hodín) písomne oznámiť každú poruchu, poškodenie, haváriu alebo odcudzenie PP.</w:t>
            </w:r>
          </w:p>
          <w:p>
            <w:pPr>
              <w:spacing w:before="56" w:after="16"/>
            </w:pPr>
            <w:r>
              <w:rPr>
                <w:rFonts w:ascii="Arial" w:cs="Arial" w:eastAsia="Arial" w:hAnsi="Arial"/>
                <w:b/>
                <w:bCs/>
                <w:color w:val="E8720A"/>
                <w:sz w:val="15"/>
                <w:szCs w:val="15"/>
              </w:rPr>
              <w:t xml:space="preserve">VIII. ZABEZPEČENIE PP</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Nájomca je povinný zabezpečiť PP po celú dobu prenájmu minimálne takto:</w:t>
            </w:r>
          </w:p>
          <w:p>
            <w:pPr>
              <w:spacing w:before="6" w:after="6"/>
              <w:ind w:left="360" w:hanging="140"/>
              <w:jc w:val="both"/>
            </w:pPr>
            <w:r>
              <w:rPr>
                <w:rFonts w:ascii="Arial" w:cs="Arial" w:eastAsia="Arial" w:hAnsi="Arial"/>
                <w:color w:val="E8720A"/>
                <w:sz w:val="14"/>
                <w:szCs w:val="14"/>
              </w:rPr>
              <w:t xml:space="preserve">– </w:t>
            </w:r>
            <w:r>
              <w:rPr>
                <w:rFonts w:ascii="Arial" w:cs="Arial" w:eastAsia="Arial" w:hAnsi="Arial"/>
                <w:i/>
                <w:iCs/>
                <w:color w:val="111111"/>
                <w:sz w:val="14"/>
                <w:szCs w:val="14"/>
              </w:rPr>
              <w:t xml:space="preserve">V uzavretom priestore: uzamknuté zapaľovanie, mechanické zabezpečenie (reťaz/pevný bod), bezpečnostná vložka, štít, oplechovanie dverí.</w:t>
            </w:r>
          </w:p>
          <w:p>
            <w:pPr>
              <w:spacing w:before="6" w:after="6"/>
              <w:ind w:left="360" w:hanging="140"/>
              <w:jc w:val="both"/>
            </w:pPr>
            <w:r>
              <w:rPr>
                <w:rFonts w:ascii="Arial" w:cs="Arial" w:eastAsia="Arial" w:hAnsi="Arial"/>
                <w:color w:val="E8720A"/>
                <w:sz w:val="14"/>
                <w:szCs w:val="14"/>
              </w:rPr>
              <w:t xml:space="preserve">– </w:t>
            </w:r>
            <w:r>
              <w:rPr>
                <w:rFonts w:ascii="Arial" w:cs="Arial" w:eastAsia="Arial" w:hAnsi="Arial"/>
                <w:i/>
                <w:iCs/>
                <w:color w:val="111111"/>
                <w:sz w:val="14"/>
                <w:szCs w:val="14"/>
              </w:rPr>
              <w:t xml:space="preserve">Na otvorenom priestranstve: uzamknuté zapaľovanie, mechanické zabezpečenie, oplotenie min. 1,8 m s uzamknutou bránou a trvalou strážnou službou.</w:t>
            </w:r>
          </w:p>
          <w:p>
            <w:pPr>
              <w:spacing w:before="6" w:after="6"/>
              <w:ind w:left="360" w:hanging="140"/>
              <w:jc w:val="both"/>
            </w:pPr>
            <w:r>
              <w:rPr>
                <w:rFonts w:ascii="Arial" w:cs="Arial" w:eastAsia="Arial" w:hAnsi="Arial"/>
                <w:color w:val="E8720A"/>
                <w:sz w:val="14"/>
                <w:szCs w:val="14"/>
              </w:rPr>
              <w:t xml:space="preserve">– </w:t>
            </w:r>
            <w:r>
              <w:rPr>
                <w:rFonts w:ascii="Arial" w:cs="Arial" w:eastAsia="Arial" w:hAnsi="Arial"/>
                <w:i/>
                <w:iCs/>
                <w:color w:val="111111"/>
                <w:sz w:val="14"/>
                <w:szCs w:val="14"/>
              </w:rPr>
              <w:t xml:space="preserve">Príslušenstvo (kladivá, lopaty a pod.): uzamknutá reťaz v uzamknutom priestore aj počas prestávok.</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Porušenie tejto povinnosti sa považuje za hrubé porušenie Zmluvy.</w:t>
            </w:r>
          </w:p>
        </w:tc>
        <w:tc>
          <w:tcPr>
            <w:tcW w:type="dxa" w:w="120"/>
            <w:tcBorders>
              <w:top w:val="none" w:color="FFFFFF" w:sz="0"/>
              <w:left w:val="single" w:color="E8720A" w:sz="3"/>
              <w:bottom w:val="none" w:color="FFFFFF" w:sz="0"/>
              <w:right w:val="none" w:color="FFFFFF" w:sz="0"/>
            </w:tcBorders>
          </w:tcPr>
          <w:p>
            <w:r>
              <w:t xml:space="preserve"/>
            </w:r>
          </w:p>
        </w:tc>
        <w:tc>
          <w:tcPr>
            <w:tcW w:type="dxa" w:w="5413"/>
            <w:tcBorders>
              <w:top w:val="none" w:color="FFFFFF" w:sz="0"/>
              <w:left w:val="none" w:color="FFFFFF" w:sz="0"/>
              <w:bottom w:val="none" w:color="FFFFFF" w:sz="0"/>
              <w:right w:val="none" w:color="FFFFFF" w:sz="0"/>
            </w:tcBorders>
            <w:tcMar>
              <w:top w:type="dxa" w:w="0"/>
              <w:left w:type="dxa" w:w="60"/>
              <w:bottom w:type="dxa" w:w="0"/>
              <w:right w:type="dxa" w:w="60"/>
            </w:tcMar>
          </w:tcPr>
          <w:p>
            <w:pPr>
              <w:spacing w:before="56" w:after="16"/>
            </w:pPr>
            <w:r>
              <w:rPr>
                <w:rFonts w:ascii="Arial" w:cs="Arial" w:eastAsia="Arial" w:hAnsi="Arial"/>
                <w:b/>
                <w:bCs/>
                <w:color w:val="E8720A"/>
                <w:sz w:val="15"/>
                <w:szCs w:val="15"/>
              </w:rPr>
              <w:t xml:space="preserve">IX. POVINNOSTI PRENAJÍMATEĽA</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Prenajímateľ je povinný odovzdať PP v stave spôsobilom na dohodnuté užívanie s príslušnou dokumentáciou a zabezpečiť Nájomcovi pokojné a nerušené užívanie PP po celú dobu prenájmu.</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Prenajímateľ odstraňuje závady a poruchy PP vzniknuté bežným opotrebením do 48 hodín od nahlásenia. Ak to nesplní, má Nájomca právo na primeranú zľavu z nájomného za dobu nespôsobilosti PP; právo zanikne, ak nie je uplatnené do 7 dní.</w:t>
            </w:r>
          </w:p>
          <w:p>
            <w:pPr>
              <w:spacing w:before="10" w:after="10"/>
              <w:ind w:left="280" w:hanging="200"/>
              <w:jc w:val="both"/>
            </w:pPr>
            <w:r>
              <w:rPr>
                <w:rFonts w:ascii="Arial" w:cs="Arial" w:eastAsia="Arial" w:hAnsi="Arial"/>
                <w:b/>
                <w:bCs/>
                <w:color w:val="E8720A"/>
                <w:sz w:val="14"/>
                <w:szCs w:val="14"/>
              </w:rPr>
              <w:t xml:space="preserve">3. </w:t>
            </w:r>
            <w:r>
              <w:rPr>
                <w:rFonts w:ascii="Arial" w:cs="Arial" w:eastAsia="Arial" w:hAnsi="Arial"/>
                <w:color w:val="111111"/>
                <w:sz w:val="14"/>
                <w:szCs w:val="14"/>
              </w:rPr>
              <w:t xml:space="preserve">Prenajímateľ zodpovedá za skryté vady PP existujúce ku dňu odovzdania. Nájomca je povinný skrytú vadu bezodkladne nahlásiť; Prenajímateľ vadu odstráni alebo PP vymení, inak má Nájomca právo na zľavu alebo predčasné ukončenie bez sankcií.</w:t>
            </w:r>
          </w:p>
          <w:p>
            <w:pPr>
              <w:spacing w:before="56" w:after="16"/>
            </w:pPr>
            <w:r>
              <w:rPr>
                <w:rFonts w:ascii="Arial" w:cs="Arial" w:eastAsia="Arial" w:hAnsi="Arial"/>
                <w:b/>
                <w:bCs/>
                <w:color w:val="E8720A"/>
                <w:sz w:val="15"/>
                <w:szCs w:val="15"/>
              </w:rPr>
              <w:t xml:space="preserve">X. PORUCHY A OPRAVY</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Pri poruche spôsobenej bežným opotrebením zabezpečí Prenajímateľ opravu do 48 hodín od nahlásenia.</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Pri poruche zavinenú Nájomcom hradí Nájomca všetky náklady na opravu a nájomné počas doby opravy.</w:t>
            </w:r>
          </w:p>
          <w:p>
            <w:pPr>
              <w:spacing w:before="10" w:after="10"/>
              <w:ind w:left="280" w:hanging="200"/>
              <w:jc w:val="both"/>
            </w:pPr>
            <w:r>
              <w:rPr>
                <w:rFonts w:ascii="Arial" w:cs="Arial" w:eastAsia="Arial" w:hAnsi="Arial"/>
                <w:b/>
                <w:bCs/>
                <w:color w:val="E8720A"/>
                <w:sz w:val="14"/>
                <w:szCs w:val="14"/>
              </w:rPr>
              <w:t xml:space="preserve">3. </w:t>
            </w:r>
            <w:r>
              <w:rPr>
                <w:rFonts w:ascii="Arial" w:cs="Arial" w:eastAsia="Arial" w:hAnsi="Arial"/>
                <w:color w:val="111111"/>
                <w:sz w:val="14"/>
                <w:szCs w:val="14"/>
              </w:rPr>
              <w:t xml:space="preserve">Pri spore o príčinu poruchy objedná Prenajímateľ odborný posudok; náklady znáša strana, ktorej zavinenie bude preukázané. Do skončenia sporu nie je Prenajímateľ povinný PP prevziať; Nájomca naďalej hradí nájomné.</w:t>
            </w:r>
          </w:p>
          <w:p>
            <w:pPr>
              <w:spacing w:before="56" w:after="16"/>
            </w:pPr>
            <w:r>
              <w:rPr>
                <w:rFonts w:ascii="Arial" w:cs="Arial" w:eastAsia="Arial" w:hAnsi="Arial"/>
                <w:b/>
                <w:bCs/>
                <w:color w:val="E8720A"/>
                <w:sz w:val="15"/>
                <w:szCs w:val="15"/>
              </w:rPr>
              <w:t xml:space="preserve">XI. UKONČENIE PRENÁJMU A ODSTÚPENIE</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Prenajímateľ môže odstúpiť od Zmluvy alebo ju vypovedať s okamžitou účinnosťou ak: omeškanie s úhradou &gt; 7 dní; porušenie povinností Nájomcu; neoprávnené premiestnenie PP; podozrenie zo zneužitia PP; podanie návrhu na konkurz/reštrukturalizáciu alebo začatie exekúcie voči Nájomcovi; klamlivé údaje pri uzatváraní Zmluvy; trestné stíhanie štatutára Nájomcu; platobná neschopnosť.</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Po odstúpení je Prenajímateľ oprávnený: odobrať PP na náklady Nájomcu; požadovať zmluvnú pokutu 1,5-násobok denného nájomného za každý deň omeškania s vrátením; požadovať náhradu škody vrátane ušlého nájomného; podať trestné oznámenie.</w:t>
            </w:r>
          </w:p>
          <w:p>
            <w:pPr>
              <w:spacing w:before="10" w:after="10"/>
              <w:ind w:left="280" w:hanging="200"/>
              <w:jc w:val="both"/>
            </w:pPr>
            <w:r>
              <w:rPr>
                <w:rFonts w:ascii="Arial" w:cs="Arial" w:eastAsia="Arial" w:hAnsi="Arial"/>
                <w:b/>
                <w:bCs/>
                <w:color w:val="E8720A"/>
                <w:sz w:val="14"/>
                <w:szCs w:val="14"/>
              </w:rPr>
              <w:t xml:space="preserve">3. </w:t>
            </w:r>
            <w:r>
              <w:rPr>
                <w:rFonts w:ascii="Arial" w:cs="Arial" w:eastAsia="Arial" w:hAnsi="Arial"/>
                <w:color w:val="111111"/>
                <w:sz w:val="14"/>
                <w:szCs w:val="14"/>
              </w:rPr>
              <w:t xml:space="preserve">Písomné odstúpenie/výpoveď nadobúda účinky dňom doručenia. Pri pochybnostiach platí fikcia doručenia 7. deň po odoslaní poštou.</w:t>
            </w:r>
          </w:p>
          <w:p>
            <w:pPr>
              <w:spacing w:before="56" w:after="16"/>
            </w:pPr>
            <w:r>
              <w:rPr>
                <w:rFonts w:ascii="Arial" w:cs="Arial" w:eastAsia="Arial" w:hAnsi="Arial"/>
                <w:b/>
                <w:bCs/>
                <w:color w:val="E8720A"/>
                <w:sz w:val="15"/>
                <w:szCs w:val="15"/>
              </w:rPr>
              <w:t xml:space="preserve">XII. ZMLUVNÁ POKUTA</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Pri podstatnom porušení povinností je Prenajímateľ oprávnený uplatniť zmluvnú pokutu do výšky 1 000 EUR za každé jednotlivé porušenie. Zmluvná pokuta sa uplatňuje nezávisle od náhrady škody.</w:t>
            </w:r>
          </w:p>
          <w:p>
            <w:pPr>
              <w:spacing w:before="56" w:after="16"/>
            </w:pPr>
            <w:r>
              <w:rPr>
                <w:rFonts w:ascii="Arial" w:cs="Arial" w:eastAsia="Arial" w:hAnsi="Arial"/>
                <w:b/>
                <w:bCs/>
                <w:color w:val="E8720A"/>
                <w:sz w:val="15"/>
                <w:szCs w:val="15"/>
              </w:rPr>
              <w:t xml:space="preserve">XIII. OSOBITNÉ PODMIENKY – MOBILNÉ WC A KONTAJNERY</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PP musí byť umiestnený na rovnej spevnenej ploche, najďalej 10 m od prístupovej komunikácie, s nepretržitým prístupom. Nájomca je povinný zabezpečiť súhlas vlastníka pozemku (ak nie je Nájomca vlastníkom).</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Elektrické pripojenie smie vykonávať len osoba s elektrotechnickou kvalifikáciou (3×230V/400V, min. prierez 4 mm², istenie 3×16A, uzemnenie povinné). Pripojenie vody: ¾ rýchlospojka; kanalizácia: HT DN 100 mm.</w:t>
            </w:r>
          </w:p>
          <w:p>
            <w:pPr>
              <w:spacing w:before="10" w:after="10"/>
              <w:ind w:left="280" w:hanging="200"/>
              <w:jc w:val="both"/>
            </w:pPr>
            <w:r>
              <w:rPr>
                <w:rFonts w:ascii="Arial" w:cs="Arial" w:eastAsia="Arial" w:hAnsi="Arial"/>
                <w:b/>
                <w:bCs/>
                <w:color w:val="E8720A"/>
                <w:sz w:val="14"/>
                <w:szCs w:val="14"/>
              </w:rPr>
              <w:t xml:space="preserve">3. </w:t>
            </w:r>
            <w:r>
              <w:rPr>
                <w:rFonts w:ascii="Arial" w:cs="Arial" w:eastAsia="Arial" w:hAnsi="Arial"/>
                <w:color w:val="111111"/>
                <w:sz w:val="14"/>
                <w:szCs w:val="14"/>
              </w:rPr>
              <w:t xml:space="preserve">Zdvíhanie kontajnera: výlučne za všetky 4 rohy hornými okami, laná rovnakej dĺžky, bez prudkých pohybov. Na streche PP nesmie byť uskladnený žiadny materiál.</w:t>
            </w:r>
          </w:p>
          <w:p>
            <w:pPr>
              <w:spacing w:before="10" w:after="10"/>
              <w:ind w:left="280" w:hanging="200"/>
              <w:jc w:val="both"/>
            </w:pPr>
            <w:r>
              <w:rPr>
                <w:rFonts w:ascii="Arial" w:cs="Arial" w:eastAsia="Arial" w:hAnsi="Arial"/>
                <w:b/>
                <w:bCs/>
                <w:color w:val="E8720A"/>
                <w:sz w:val="14"/>
                <w:szCs w:val="14"/>
              </w:rPr>
              <w:t xml:space="preserve">4. </w:t>
            </w:r>
            <w:r>
              <w:rPr>
                <w:rFonts w:ascii="Arial" w:cs="Arial" w:eastAsia="Arial" w:hAnsi="Arial"/>
                <w:color w:val="111111"/>
                <w:sz w:val="14"/>
                <w:szCs w:val="14"/>
              </w:rPr>
              <w:t xml:space="preserve">V PP nie je dovolené zasahovať do elektroinštalácie, robiť otvory ani vešať predmety na konštrukciu bez písomného súhlasu Prenajímateľa.</w:t>
            </w:r>
          </w:p>
          <w:p>
            <w:pPr>
              <w:spacing w:before="10" w:after="10"/>
              <w:ind w:left="280" w:hanging="200"/>
              <w:jc w:val="both"/>
            </w:pPr>
            <w:r>
              <w:rPr>
                <w:rFonts w:ascii="Arial" w:cs="Arial" w:eastAsia="Arial" w:hAnsi="Arial"/>
                <w:b/>
                <w:bCs/>
                <w:color w:val="E8720A"/>
                <w:sz w:val="14"/>
                <w:szCs w:val="14"/>
              </w:rPr>
              <w:t xml:space="preserve">5. </w:t>
            </w:r>
            <w:r>
              <w:rPr>
                <w:rFonts w:ascii="Arial" w:cs="Arial" w:eastAsia="Arial" w:hAnsi="Arial"/>
                <w:color w:val="111111"/>
                <w:sz w:val="14"/>
                <w:szCs w:val="14"/>
              </w:rPr>
              <w:t xml:space="preserve">Servis mobilných toaliet: Prenajímateľ zabezpečuje spravidla týždenne (vyčerpanie, ČOV, doplnenie chemikálií). Ak Nájomca servis neumožní, znáša všetky náklady. Poplatok za nevyprázdnený fekálny tank: 250 EUR.</w:t>
            </w:r>
          </w:p>
          <w:p>
            <w:pPr>
              <w:spacing w:before="10" w:after="10"/>
              <w:ind w:left="280" w:hanging="200"/>
              <w:jc w:val="both"/>
            </w:pPr>
            <w:r>
              <w:rPr>
                <w:rFonts w:ascii="Arial" w:cs="Arial" w:eastAsia="Arial" w:hAnsi="Arial"/>
                <w:b/>
                <w:bCs/>
                <w:color w:val="E8720A"/>
                <w:sz w:val="14"/>
                <w:szCs w:val="14"/>
              </w:rPr>
              <w:t xml:space="preserve">6. </w:t>
            </w:r>
            <w:r>
              <w:rPr>
                <w:rFonts w:ascii="Arial" w:cs="Arial" w:eastAsia="Arial" w:hAnsi="Arial"/>
                <w:color w:val="111111"/>
                <w:sz w:val="14"/>
                <w:szCs w:val="14"/>
              </w:rPr>
              <w:t xml:space="preserve">Nájomca zodpovedá za vandalizmus a nadmerné znečistenie PP.</w:t>
            </w:r>
          </w:p>
          <w:p>
            <w:pPr>
              <w:spacing w:before="56" w:after="16"/>
            </w:pPr>
            <w:r>
              <w:rPr>
                <w:rFonts w:ascii="Arial" w:cs="Arial" w:eastAsia="Arial" w:hAnsi="Arial"/>
                <w:b/>
                <w:bCs/>
                <w:color w:val="E8720A"/>
                <w:sz w:val="15"/>
                <w:szCs w:val="15"/>
              </w:rPr>
              <w:t xml:space="preserve">XIV. VYŠŠIA MOC (FORCE MAJEURE)</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Žiadna zo strán nie je v omeškaní, ak nesplnenie záväzku bolo spôsobené okolnosťami vylučujúcimi zodpovednosť podľa § 374 OBZ (prírodné katastrofy, vojnový stav, pandémia, štrajk celoodvetvového charakteru, úradné rozhodnutie).</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Strana dovolávajúca sa vyššej moci je povinná to bezodkladne písomne oznámiť. Ak prekážka trvá &gt; 30 dní, každá strana môže od Zmluvy odstúpiť bez náhrady škody; záväzky pred vznikom prekážky zostávajú nedotknuté. Povinnosť platiť nájomné je počas vyššej moci pozastavená v rozsahu, v akom Nájomca PP nemôže užívať.</w:t>
            </w:r>
          </w:p>
          <w:p>
            <w:pPr>
              <w:spacing w:before="56" w:after="16"/>
            </w:pPr>
            <w:r>
              <w:rPr>
                <w:rFonts w:ascii="Arial" w:cs="Arial" w:eastAsia="Arial" w:hAnsi="Arial"/>
                <w:b/>
                <w:bCs/>
                <w:color w:val="E8720A"/>
                <w:sz w:val="15"/>
                <w:szCs w:val="15"/>
              </w:rPr>
              <w:t xml:space="preserve">XV. PÍSOMNÁ FORMA A DORUČOVANIE</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Za písomnú formu sa považuje: listinný originál; e-mail z adresy uvedenej v Zmluve; overená dátová schránka. Odstúpenie od Zmluvy a uplatnenie zmluvnej pokuty nad 500 EUR vyžadujú listinnú formu s vlastnoručným podpisom.</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Zmluvné strany sú povinné do 5 pracovných dní písomne oznámiť zmenu sídla, adresy alebo e-mailu. Listinné zásielky zaslané doporučenou poštou sa považujú za doručené: dňom prevzatia; dňom odmietnutia; 7. pracovný deň po odoslaní (fikcia doručenia).</w:t>
            </w:r>
          </w:p>
          <w:p>
            <w:pPr>
              <w:spacing w:before="56" w:after="16"/>
            </w:pPr>
            <w:r>
              <w:rPr>
                <w:rFonts w:ascii="Arial" w:cs="Arial" w:eastAsia="Arial" w:hAnsi="Arial"/>
                <w:b/>
                <w:bCs/>
                <w:color w:val="E8720A"/>
                <w:sz w:val="15"/>
                <w:szCs w:val="15"/>
              </w:rPr>
              <w:t xml:space="preserve">XVI. SEPARAČNÁ KLAUZULA</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Ak sa niektoré ustanovenie stane neplatným alebo nevykonateľným, ostatné ustanovenia zostávajú v plnej platnosti a účinnosti.</w:t>
            </w:r>
          </w:p>
          <w:p>
            <w:pPr>
              <w:spacing w:before="56" w:after="16"/>
            </w:pPr>
            <w:r>
              <w:rPr>
                <w:rFonts w:ascii="Arial" w:cs="Arial" w:eastAsia="Arial" w:hAnsi="Arial"/>
                <w:b/>
                <w:bCs/>
                <w:color w:val="E8720A"/>
                <w:sz w:val="15"/>
                <w:szCs w:val="15"/>
              </w:rPr>
              <w:t xml:space="preserve">XVII. ZÁVEREČNÉ USTANOVENIA</w:t>
            </w:r>
          </w:p>
          <w:p>
            <w:pPr>
              <w:spacing w:before="10" w:after="10"/>
              <w:ind w:left="280" w:hanging="200"/>
              <w:jc w:val="both"/>
            </w:pPr>
            <w:r>
              <w:rPr>
                <w:rFonts w:ascii="Arial" w:cs="Arial" w:eastAsia="Arial" w:hAnsi="Arial"/>
                <w:b/>
                <w:bCs/>
                <w:color w:val="E8720A"/>
                <w:sz w:val="14"/>
                <w:szCs w:val="14"/>
              </w:rPr>
              <w:t xml:space="preserve">1. </w:t>
            </w:r>
            <w:r>
              <w:rPr>
                <w:rFonts w:ascii="Arial" w:cs="Arial" w:eastAsia="Arial" w:hAnsi="Arial"/>
                <w:color w:val="111111"/>
                <w:sz w:val="14"/>
                <w:szCs w:val="14"/>
              </w:rPr>
              <w:t xml:space="preserve">Nájomca podpisom Zmluvy potvrdzuje, že sa s VPPM oboznámil, porozumel im a akceptuje ich.</w:t>
            </w:r>
          </w:p>
          <w:p>
            <w:pPr>
              <w:spacing w:before="10" w:after="10"/>
              <w:ind w:left="280" w:hanging="200"/>
              <w:jc w:val="both"/>
            </w:pPr>
            <w:r>
              <w:rPr>
                <w:rFonts w:ascii="Arial" w:cs="Arial" w:eastAsia="Arial" w:hAnsi="Arial"/>
                <w:b/>
                <w:bCs/>
                <w:color w:val="E8720A"/>
                <w:sz w:val="14"/>
                <w:szCs w:val="14"/>
              </w:rPr>
              <w:t xml:space="preserve">2. </w:t>
            </w:r>
            <w:r>
              <w:rPr>
                <w:rFonts w:ascii="Arial" w:cs="Arial" w:eastAsia="Arial" w:hAnsi="Arial"/>
                <w:color w:val="111111"/>
                <w:sz w:val="14"/>
                <w:szCs w:val="14"/>
              </w:rPr>
              <w:t xml:space="preserve">Nájomca nie je oprávnený postúpiť práva zo Zmluvy bez písomného súhlasu Prenajímateľa.</w:t>
            </w:r>
          </w:p>
          <w:p>
            <w:pPr>
              <w:spacing w:before="10" w:after="10"/>
              <w:ind w:left="280" w:hanging="200"/>
              <w:jc w:val="both"/>
            </w:pPr>
            <w:r>
              <w:rPr>
                <w:rFonts w:ascii="Arial" w:cs="Arial" w:eastAsia="Arial" w:hAnsi="Arial"/>
                <w:b/>
                <w:bCs/>
                <w:color w:val="E8720A"/>
                <w:sz w:val="14"/>
                <w:szCs w:val="14"/>
              </w:rPr>
              <w:t xml:space="preserve">3. </w:t>
            </w:r>
            <w:r>
              <w:rPr>
                <w:rFonts w:ascii="Arial" w:cs="Arial" w:eastAsia="Arial" w:hAnsi="Arial"/>
                <w:color w:val="111111"/>
                <w:sz w:val="14"/>
                <w:szCs w:val="14"/>
              </w:rPr>
              <w:t xml:space="preserve">Miestne príslušným súdom pre spory je súd v Bratislave, ak nie je v Zmluve dohodnuté inak.</w:t>
            </w:r>
          </w:p>
          <w:p>
            <w:pPr>
              <w:spacing w:before="10" w:after="10"/>
              <w:ind w:left="280" w:hanging="200"/>
              <w:jc w:val="both"/>
            </w:pPr>
            <w:r>
              <w:rPr>
                <w:rFonts w:ascii="Arial" w:cs="Arial" w:eastAsia="Arial" w:hAnsi="Arial"/>
                <w:b/>
                <w:bCs/>
                <w:color w:val="E8720A"/>
                <w:sz w:val="14"/>
                <w:szCs w:val="14"/>
              </w:rPr>
              <w:t xml:space="preserve">4. </w:t>
            </w:r>
            <w:r>
              <w:rPr>
                <w:rFonts w:ascii="Arial" w:cs="Arial" w:eastAsia="Arial" w:hAnsi="Arial"/>
                <w:color w:val="111111"/>
                <w:sz w:val="14"/>
                <w:szCs w:val="14"/>
              </w:rPr>
              <w:t xml:space="preserve">Prenajímateľ môže VPPM jednostranne meniť; o zmene informuje minimálne 30 dní vopred. Na existujúce zmluvy sa zmeny nevzťahujú bez súhlasu Nájomcu.</w:t>
            </w:r>
          </w:p>
        </w:tc>
      </w:tr>
    </w:tbl>
    <w:sectPr>
      <w:headerReference w:type="default" r:id="rId6"/>
      <w:footerReference w:type="default" r:id="rId7"/>
      <w:pgSz w:w="11906" w:h="16838" w:orient="portrait"/>
      <w:pgMar w:top="480" w:right="480" w:bottom="480" w:left="4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20A" w:sz="4" w:space="3"/>
      </w:pBdr>
      <w:spacing w:before="40"/>
      <w:jc w:val="center"/>
    </w:pPr>
    <w:r>
      <w:rPr>
        <w:rFonts w:ascii="Arial" w:cs="Arial" w:eastAsia="Arial" w:hAnsi="Arial"/>
        <w:color w:val="555555"/>
        <w:sz w:val="13"/>
        <w:szCs w:val="13"/>
      </w:rPr>
      <w:t xml:space="preserve">ROYAL STROJE s.r.o.  |  Recká cesta 182, 925 26 Boldog – Senec  |  IČO: 57405425  |  info@royalstroje.sk  |  www.royalstroje.sk  |  Určené výlučne pre podnikateľov (PO a SZČO)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20A" w:sz="8" w:space="3"/>
      </w:pBdr>
      <w:spacing w:before="0" w:after="60"/>
    </w:pPr>
    <w:r>
      <w:rPr>
        <w:rFonts w:ascii="Arial" w:cs="Arial" w:eastAsia="Arial" w:hAnsi="Arial"/>
        <w:b/>
        <w:bCs/>
        <w:color w:val="E8720A"/>
        <w:sz w:val="18"/>
        <w:szCs w:val="18"/>
      </w:rPr>
      <w:t xml:space="preserve">VŠEOBECNÉ PODMIENKY PRENÁJMU MECHANIZÁCIE A PRÍSLUŠENSTVA (VPPM)  </w:t>
    </w:r>
    <w:r>
      <w:rPr>
        <w:rFonts w:ascii="Arial" w:cs="Arial" w:eastAsia="Arial" w:hAnsi="Arial"/>
        <w:color w:val="555555"/>
        <w:sz w:val="14"/>
        <w:szCs w:val="14"/>
      </w:rPr>
      <w:t xml:space="preserve">| ROYAL STROJE s.r.o.  |  Verzia VPPM2026.02  |  Platné od 01.02.2026  |  www.royalstroje.sk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14"/>
        <w:szCs w:val="1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2026-02-19T16:28:19.925Z</dcterms:created>
  <dcterms:modified xsi:type="dcterms:W3CDTF">2026-02-19T16:28:19.926Z</dcterms:modified>
</cp:coreProperties>
</file>

<file path=docProps/custom.xml><?xml version="1.0" encoding="utf-8"?>
<Properties xmlns="http://schemas.openxmlformats.org/officeDocument/2006/custom-properties" xmlns:vt="http://schemas.openxmlformats.org/officeDocument/2006/docPropsVTypes"/>
</file>