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Data (File: prediction-regression-round3.json):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Comprises numerical data designed for regression models.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target values are structured for predicting continuous variables.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integrity checks confirmed completeness and consistency across features.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Data (File: prediction-classification-round3.json):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 categorical labels relevant for classification tasks.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 span various domains such as food, tech, fashion, entertainment, and health and lifestyle.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distribution aligns with real-world scenarios, enriching model applicability.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Analysis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Distribution: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target variable exhibits a slight positive skew, with most values clustering at the higher end.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analyses suggest the need for careful handling of outliers to maintain model stability.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Correlation: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Several features demonstrated high correlation with the target variable, highlighting their predictive value.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 multicollinearity necessitates dimensionality reduction to enhance model performance.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Performance: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models achieved significant predictive accuracy, with robust metrics like R-squared and Mean Squared Error (MSE).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plots reveal subtle patterns, indicating possible non-linearity in some data segments.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Analysis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Distribution: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Uneven class distributions reflect real-world imbalances, with some classes being underrepresented.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natural imbalance presents opportunities to test advanced techniques such as weighted loss functions.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Importance: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Domain-specific attributes played a pivotal role in classification accuracy.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Notable disparities between some classes, such as tech versus fashion, underscore the need for precise feature engineering.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Accuracy: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metrics, including precision and recall, confirm effective classification capabilities.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 analysis highlighted challenges in distinguishing closely related categories, offering insights into model refinement areas.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datasets exhibit substantial potential for yielding valuable predictive insights across regression and classification tasks. With an effective balance between feature engineering and model design, these datasets can serve as a foundation for robust analytical solutions across diverse domains.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