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каждый цилиндр опирается на два внешних неподвижных рамных узла — передний и задний — через осевую цапфу и подшипниковый корпус. Рамы не соединяются продольной конструкцией в межцилиндровом зазоре: пространство между боковыми оболочками вдоль цилиндров остаётся пустым. Передний узел дополнительно содержит герметичный переход из причального комплекса в осевую транспортную шахту соответствующего цилиндра.</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неподвижной рамы переходят в герметичные стационарные камеры переднего подшипникового корпуса. Через многоступенчатый вращающийся гермопереход и осевой полый вал путь входит в переднюю полусферу соответствующего цилиндра, где две наклонные транспортные шахты ведут к жилой поверхности. Межцилиндровых тоннелей нет; каждая шахта принадлежит только своему цилиндру.</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задняя рама предназначена для антенн, радиаторов, солнечных крыльев и двигательных модулей.</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передний подшипниковый узел проходит не открытый проём, а герметичный транспортный интерфейс между неподвижной рамой и вращающимся цилиндром. Состав узла включает осевой полый вал для шахты, многоступенчатые шлюзовые камеры, вращающееся уплотнение и независимые силовые вводы. Все переходы можно изолировать секционными гермодверями до и после уплотнения.</w:t>
      </w:r>
    </w:p>
    <w:p>
      <w:pPr>
        <w:spacing w:after="120"/>
      </w:pPr>
      <w:r>
        <w:rPr>
          <w:b w:val="0"/>
          <w:i w:val="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размещается интегрированный низкоскоростной синхронный мотор-генератор: статор закреплён на неподвижной раме, роторный пакет — на осевой цапфе внутри корпуса узла. Поэтому моторы и магнитные подшипники не крепятся к оболочкам и не требуют оборудования в межцилиндровом зазоре. Механические ловители воспринимают цилиндр только при разгерметизации, потере управления или остановке магнитной системы.</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Предварительно принимается диаметр опорного кольца 400 м при ширине 3 м. На каждом узле устанавливаются два независимых магнитных контура, датчики положения и охлаждаемые силовые модули. Контактное давление и динамическая устойчивость должны быть подтверждены отдельным расчётом электромагнитной опоры; механический ловитель остаётся резервом, а не штатной опорой. Кольцо находится внутри неподвижного торцевого корпуса и не является наружным ребром цилиндра.</w:t>
      </w:r>
    </w:p>
    <w:p>
      <w:pPr>
        <w:spacing w:after="120"/>
        <w:ind w:firstLine="0"/>
      </w:pPr>
      <w:r>
        <w:rPr>
          <w:b w:val="0"/>
          <w:i w:val="0"/>
        </w:rPr>
        <w:t>Герметизация вращающегося стыка и проход транспортной шахты обеспечиваются многоступенчатой системой:</w:t>
      </w:r>
    </w:p>
    <w:p>
      <w:pPr>
        <w:pStyle w:val="ListBullet"/>
        <w:spacing w:after="60"/>
        <w:ind w:firstLine="0" w:left="567"/>
      </w:pPr>
      <w:r>
        <w:t>Первый барьер — бесконтактное магнитожидкостное уплотнение вала; за ним находятся две независимые контактные манжеты и контрольная межбарьерная полость с датчиком давления.</w:t>
      </w:r>
    </w:p>
    <w:p>
      <w:pPr>
        <w:pStyle w:val="ListBullet"/>
        <w:spacing w:after="60"/>
        <w:ind w:firstLine="0" w:left="567"/>
      </w:pPr>
      <w:r>
        <w:t>Второй барьер — сухое лабиринтное уплотнение с откачкой промежуточной полости и автоматическим закрытием гермодверей при росте утечки.</w:t>
      </w:r>
    </w:p>
    <w:p>
      <w:pPr>
        <w:pStyle w:val="ListBullet"/>
        <w:spacing w:after="60"/>
        <w:ind w:firstLine="0" w:left="567"/>
      </w:pPr>
      <w:r>
        <w:t>Транспортное сообщение осуществляется через две последовательно изолируемые шлюзовые камеры перед уплотнением и две камеры после него, а не через открытый проём. При любой неисправности участок между камерами отсекается, поэтому потеря одного уплотнения не разгерметизирует цилиндр.</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прибывает на неподвижный передний причал и проходит в стационарную шлюзовую камеру. После проверки герметичности вращение сообщается кабине и переходному валу интегрированным мотор-генератором подшипникового узла; затем через вращающийся гермопереход пассажир попадает в осевую шахту передней полусферы и в одну из двух наклонных шахт к жилой поверхности. В приосевой объём пассажир при этом не попадает.</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4844"/>
          </w:tcPr>
          <w:p>
            <w:r>
              <w:t>Подшипниковые узлы, моторы-генераторы и силовая электроника</w:t>
            </w:r>
          </w:p>
        </w:tc>
        <w:tc>
          <w:tcPr>
            <w:tcW w:type="dxa" w:w="4844"/>
          </w:tcPr>
          <w:p>
            <w:r>
              <w:t>2</w:t>
            </w:r>
          </w:p>
        </w:tc>
      </w:tr>
      <w:tr>
        <w:tc>
          <w:tcPr>
            <w:tcW w:type="dxa" w:w="5953"/>
          </w:tcPr>
          <w:p>
            <w:pPr>
              <w:spacing w:after="40"/>
              <w:ind w:firstLine="0"/>
            </w:pPr>
            <w:r/>
            <w:r>
              <w:rPr>
                <w:sz w:val="20"/>
              </w:rPr>
              <w:t>Резерв и потери передачи</w:t>
            </w:r>
          </w:p>
        </w:tc>
        <w:tc>
          <w:tcPr>
            <w:tcW w:type="dxa" w:w="3402"/>
          </w:tcPr>
          <w:p>
            <w:r>
              <w:t>31</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той же раме, но на разнесённых выносных узлах, находятся радиаторы, высоконаправленные антенны, солнечные крылья и двигательные модули;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поворотных раскрывающихся крыльях неподвижных узлов. Они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магнитные подшипники, мотор-генераторы, датчики, насосы гермоперехода и транспортные шахты. Предварительная квота энергобаланса на подшипниковые узлы, приводы и силовую электронику — 2 ГВт; источник — реакторная шина, а не солнечные крылья. Солнечные батареи остаются резервным вспомогательным источником.</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