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r>
              <w:t>1 308 МПа при пределе 2 000 МПа, запас 1,53</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r>
              <w:t>721,4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r>
        <w:tc>
          <w:tcPr>
            <w:tcW w:type="dxa" w:w="4844"/>
          </w:tcPr>
          <w:p>
            <w:r>
              <w:t>Межосевое расстояние цилиндров</w:t>
            </w:r>
          </w:p>
        </w:tc>
        <w:tc>
          <w:tcPr>
            <w:tcW w:type="dxa" w:w="4844"/>
          </w:tcPr>
          <w:p>
            <w:r>
              <w:t>21 км; свободный вакуумный зазор между оболочками 11 км</w:t>
            </w:r>
          </w:p>
        </w:tc>
      </w:tr>
      <w:tr>
        <w:tc>
          <w:tcPr>
            <w:tcW w:type="dxa" w:w="4844"/>
          </w:tcPr>
          <w:p>
            <w:r>
              <w:t>Оборудование на боковой обшивке</w:t>
            </w:r>
          </w:p>
        </w:tc>
        <w:tc>
          <w:tcPr>
            <w:tcW w:type="dxa" w:w="4844"/>
          </w:tcPr>
          <w:p>
            <w:r>
              <w:t>Отсутствует; все внешние узлы только на передней и задней рамах</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spacing w:after="120"/>
        <w:ind w:firstLine="0"/>
      </w:pPr>
      <w:r>
        <w:rPr>
          <w:b/>
          <w:i w:val="0"/>
        </w:rPr>
        <w:t>Назначение торцевых полусфер</w:t>
      </w:r>
    </w:p>
    <w:p>
      <w:pPr>
        <w:pStyle w:val="ListBullet"/>
        <w:spacing w:after="60"/>
        <w:ind w:firstLine="0" w:left="567"/>
      </w:pPr>
      <w: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spacing w:after="60"/>
        <w:ind w:firstLine="0" w:left="567"/>
      </w:pPr>
      <w: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r>
              <w:t>Суммарная внешняя нагрузка q_ext (без собственного веса)</w:t>
            </w:r>
          </w:p>
        </w:tc>
        <w:tc>
          <w:tcPr>
            <w:tcW w:type="dxa" w:w="3685"/>
          </w:tcPr>
          <w:p>
            <w:r>
              <w:t>152,6</w:t>
            </w:r>
          </w:p>
        </w:tc>
      </w:tr>
      <w:tr>
        <w:tc>
          <w:tcPr>
            <w:tcW w:type="dxa" w:w="4844"/>
          </w:tcPr>
          <w:p>
            <w:r>
              <w:t>Гермооболочка и теплоизоляция, собственный вес</w:t>
            </w:r>
          </w:p>
        </w:tc>
        <w:tc>
          <w:tcPr>
            <w:tcW w:type="dxa" w:w="4844"/>
          </w:tcPr>
          <w:p>
            <w:r>
              <w:t>4,3</w:t>
            </w:r>
          </w:p>
        </w:tc>
      </w:tr>
      <w:tr>
        <w:tc>
          <w:tcPr>
            <w:tcW w:type="dxa" w:w="4844"/>
          </w:tcPr>
          <w:p>
            <w:r>
              <w:t>Силовой пояс, собственный вес</w:t>
            </w:r>
          </w:p>
        </w:tc>
        <w:tc>
          <w:tcPr>
            <w:tcW w:type="dxa" w:w="4844"/>
          </w:tcPr>
          <w:p>
            <w:r>
              <w:t>65,4</w:t>
            </w:r>
          </w:p>
        </w:tc>
      </w:tr>
      <w:tr>
        <w:tc>
          <w:tcPr>
            <w:tcW w:type="dxa" w:w="4844"/>
          </w:tcPr>
          <w:p>
            <w:r>
              <w:t>Расчётная нагрузка q_total для σ = qR/t</w:t>
            </w:r>
          </w:p>
        </w:tc>
        <w:tc>
          <w:tcPr>
            <w:tcW w:type="dxa" w:w="4844"/>
          </w:tcPr>
          <w:p>
            <w:r>
              <w:t>222,4</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Каноническое уточнённое значение — 46,70 млрд т. Конструкционный пакет с силовым набором составляет 26,85 млрд т, из них сталь с набором — 22,05 млрд т, или около 47,2 % полной массы. Доля 57 % относилась к отменённой промежуточной разбивке и больше не используется.</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панелей, размещённых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r>
              <w:t>Радиаторные панели передней неподвижной рамы</w:t>
            </w:r>
          </w:p>
        </w:tc>
        <w:tc>
          <w:tcPr>
            <w:tcW w:type="dxa" w:w="1701"/>
          </w:tcPr>
          <w:p>
            <w:r>
              <w:t>220</w:t>
            </w:r>
          </w:p>
        </w:tc>
        <w:tc>
          <w:tcPr>
            <w:tcW w:type="dxa" w:w="3969"/>
          </w:tcPr>
          <w:p>
            <w:r>
              <w:t>Только неподвижная рама; боковая обшивка свободна</w:t>
            </w:r>
          </w:p>
        </w:tc>
      </w:tr>
      <w:tr>
        <w:tc>
          <w:tcPr>
            <w:tcW w:type="dxa" w:w="3685"/>
          </w:tcPr>
          <w:p>
            <w:r>
              <w:t>Радиаторные панели задней неподвижной рамы</w:t>
            </w:r>
          </w:p>
        </w:tc>
        <w:tc>
          <w:tcPr>
            <w:tcW w:type="dxa" w:w="1701"/>
          </w:tcPr>
          <w:p>
            <w:r>
              <w:t>157</w:t>
            </w:r>
          </w:p>
        </w:tc>
        <w:tc>
          <w:tcPr>
            <w:tcW w:type="dxa" w:w="3969"/>
          </w:tcPr>
          <w:p>
            <w:r>
              <w:t>Только неподвижная рама; боковая обшивка свободна</w:t>
            </w:r>
          </w:p>
        </w:tc>
      </w:tr>
      <w:tr>
        <w:tc>
          <w:tcPr>
            <w:tcW w:type="dxa" w:w="3685"/>
          </w:tcPr>
          <w:p>
            <w:r>
              <w:t>Ферменная рама и штатные панели узлов</w:t>
            </w:r>
          </w:p>
        </w:tc>
        <w:tc>
          <w:tcPr>
            <w:tcW w:type="dxa" w:w="1701"/>
          </w:tcPr>
          <w:p>
            <w:r>
              <w:t>100</w:t>
            </w:r>
          </w:p>
        </w:tc>
        <w:tc>
          <w:tcPr>
            <w:tcW w:type="dxa" w:w="3969"/>
          </w:tcPr>
          <w:p>
            <w:r>
              <w:t>Только неподвижная рама; боковая обшивка свободна</w:t>
            </w:r>
          </w:p>
        </w:tc>
      </w:tr>
      <w:tr>
        <w:tc>
          <w:tcPr>
            <w:tcW w:type="dxa" w:w="3685"/>
          </w:tcPr>
          <w:p>
            <w:r>
              <w:t>Развёртываемые радиаторные панели на 4 узлах</w:t>
            </w:r>
          </w:p>
        </w:tc>
        <w:tc>
          <w:tcPr>
            <w:tcW w:type="dxa" w:w="1701"/>
          </w:tcPr>
          <w:p>
            <w:r>
              <w:t>700</w:t>
            </w:r>
          </w:p>
        </w:tc>
        <w:tc>
          <w:tcPr>
            <w:tcW w:type="dxa" w:w="3969"/>
          </w:tcPr>
          <w:p>
            <w:r>
              <w:t>Только неподвижная рама; боковая обшивка свободна</w:t>
            </w:r>
          </w:p>
        </w:tc>
      </w:tr>
      <w:tr>
        <w:tc>
          <w:tcPr>
            <w:tcW w:type="dxa" w:w="3685"/>
          </w:tcPr>
          <w:p>
            <w:r>
              <w:t>Резервные радиаторные панели на неподвижных рамах</w:t>
            </w:r>
          </w:p>
        </w:tc>
        <w:tc>
          <w:tcPr>
            <w:tcW w:type="dxa" w:w="1701"/>
          </w:tcPr>
          <w:p>
            <w:r>
              <w:t>300</w:t>
            </w:r>
          </w:p>
        </w:tc>
        <w:tc>
          <w:tcPr>
            <w:tcW w:type="dxa" w:w="3969"/>
          </w:tcPr>
          <w:p>
            <w:r>
              <w:t>Только неподвижная рама; боковая обшивка свободна</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spacing w:after="120"/>
      </w:pPr>
      <w:r>
        <w:rPr>
          <w:b w:val="0"/>
          <w:i w:val="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r>
              <w:t>Доступ к солнечной энергии для вспомогательных систем</w:t>
            </w:r>
          </w:p>
        </w:tc>
        <w:tc>
          <w:tcPr>
            <w:tcW w:type="dxa" w:w="6746"/>
          </w:tcPr>
          <w:p>
            <w: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2608"/>
          </w:tcPr>
          <w:p>
            <w:pPr>
              <w:spacing w:after="40"/>
              <w:ind w:firstLine="0"/>
            </w:pPr>
            <w:r/>
            <w:r>
              <w:rPr>
                <w:sz w:val="20"/>
              </w:rPr>
              <w:t>Надёжная связь с Землёй</w:t>
            </w:r>
          </w:p>
        </w:tc>
        <w:tc>
          <w:tcPr>
            <w:tcW w:type="dxa" w:w="6746"/>
          </w:tcPr>
          <w:p>
            <w:r>
              <w:t>Прямая видимость, задержка 5,0 с в одну сторону и около 10,0 с при круговом обмене.</w:t>
            </w:r>
          </w:p>
        </w:tc>
      </w:tr>
      <w:tr>
        <w:tc>
          <w:tcPr>
            <w:tcW w:type="dxa" w:w="2608"/>
          </w:tcPr>
          <w:p>
            <w:pPr>
              <w:spacing w:after="40"/>
              <w:ind w:firstLine="0"/>
            </w:pPr>
            <w:r/>
            <w:r>
              <w:rPr>
                <w:sz w:val="20"/>
              </w:rPr>
              <w:t>Транспортная доступность</w:t>
            </w:r>
          </w:p>
        </w:tc>
        <w:tc>
          <w:tcPr>
            <w:tcW w:type="dxa" w:w="6746"/>
          </w:tcPr>
          <w:p>
            <w:r>
              <w:t>Расстояние 1,5 млн км преодолевается за несколько дней; это логистическое преимущество, не ресурсная причина выбора.</w:t>
            </w:r>
          </w:p>
        </w:tc>
      </w:tr>
      <w:tr>
        <w:tc>
          <w:tcPr>
            <w:tcW w:type="dxa" w:w="2608"/>
          </w:tcPr>
          <w:p>
            <w:pPr>
              <w:spacing w:after="40"/>
              <w:ind w:firstLine="0"/>
            </w:pPr>
            <w:r/>
            <w:r>
              <w:rPr>
                <w:sz w:val="20"/>
              </w:rPr>
              <w:t>Стабильные условия освещения</w:t>
            </w:r>
          </w:p>
        </w:tc>
        <w:tc>
          <w:tcPr>
            <w:tcW w:type="dxa" w:w="6746"/>
          </w:tcPr>
          <w:p>
            <w: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каждый цилиндр опирается на два внешних неподвижных рамных узла — передний и задний — через осевую цапфу и подшипниковый корпус. Передняя рама каждого цилиндра является отдельной: она не образует продольного моста между цилиндрами, а пространство между боковыми оболочками вдоль цилиндрических частей остаётся пустым. Передний узел содержит два независимых транспортных коридора — А и Б, каждый в собственной шахте переднего торцевого купола.</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spacing w:after="60"/>
        <w:ind w:firstLine="0" w:left="567"/>
      </w:pPr>
      <w:r>
        <w:t>Грузовые терминалы с механизмами перегрузки размещены на передней раме и не передают нагрузку на вращающуюся оболочку.</w:t>
      </w:r>
    </w:p>
    <w:p>
      <w:pPr>
        <w:pStyle w:val="ListBullet"/>
        <w:spacing w:after="60"/>
        <w:ind w:firstLine="0" w:left="567"/>
      </w:pPr>
      <w:r>
        <w:t>Пассажирские шлюзы передней неподвижной рамы переходят в герметичные стационарные камеры переднего подшипникового корпуса. Для каждого цилиндра предусмотрены два независимых коридора: А и Б. Каждый коридор имеет два раздельных герметичных канала — восходящий и нисходящий — чистым диаметром 8,0 м. Через многоступенчатый вращающийся гермопереход и полый осевой вал путь входит в переднюю полусферу соответствующего цилиндра; далее коридоры А и Б зеркально расходятся в две наклонные шахты. Межцилиндровых тоннелей нет.</w:t>
      </w:r>
    </w:p>
    <w:p>
      <w:pPr>
        <w:pStyle w:val="ListBullet"/>
        <w:spacing w:after="60"/>
        <w:ind w:firstLine="0" w:left="567"/>
      </w:pPr>
      <w:r>
        <w:t>Резервные причальные места также находятся на передней раме и являются дублированием основного комплекса. Коридоры А и Б взаимно резервируют друг друга; задняя рама предназначена для антенн, радиаторов, солнечных крыльев и двигательных модулей и не является пассажирским входом.</w:t>
      </w:r>
    </w:p>
    <w:p>
      <w:pPr>
        <w:spacing w:after="120"/>
        <w:ind w:firstLine="0"/>
      </w:pPr>
      <w:r>
        <w:rPr>
          <w:b/>
          <w:i w:val="0"/>
        </w:rPr>
        <w:t>4.7.3. Альтернативная схема: роторный причал на оси цилиндра</w:t>
      </w:r>
    </w:p>
    <w:p>
      <w:pPr>
        <w:spacing w:after="120"/>
      </w:pPr>
      <w:r>
        <w:rPr>
          <w:b w:val="0"/>
          <w:i w:val="0"/>
        </w:rPr>
        <w:t>Прямой роторный причал на оси цилиндра не принимается: он нарушил бы принцип отсутствия оборудования на вращающейся оболочке и усложнил бы герметичность. Доступ внутрь каждого цилиндра выполняется только через передний неподвижный причальный комплекс, подшипниковый узел и внутреннюю транспортную шахту.</w:t>
      </w:r>
    </w:p>
    <w:p>
      <w:pPr>
        <w:spacing w:after="120"/>
      </w:pPr>
      <w:r>
        <w:rPr>
          <w:b w:val="0"/>
          <w:i w:val="0"/>
        </w:rPr>
        <w:t>Сценарий раскрутки корабля вокруг оси исключён из штатной и резервной схемы: корабли не стыкуются с вращающимися частями станции.</w:t>
      </w:r>
    </w:p>
    <w:p>
      <w:pPr>
        <w:spacing w:after="120"/>
      </w:pPr>
      <w:r>
        <w:rPr>
          <w:b w:val="0"/>
          <w:i w:val="0"/>
        </w:rPr>
        <w:t>Резервирование достигается дублированием передних причальных модулей и транспортных шахт, а не созданием роторного причала.</w:t>
      </w:r>
    </w:p>
    <w:p>
      <w:pPr>
        <w:spacing w:after="120"/>
        <w:ind w:firstLine="0"/>
      </w:pPr>
      <w:r>
        <w:rPr>
          <w:b/>
          <w:i w:val="0"/>
        </w:rPr>
        <w:t>4.7.4. Подшипниковый узел как элемент транспортной системы</w:t>
      </w:r>
    </w:p>
    <w:p>
      <w:pPr>
        <w:spacing w:after="120"/>
      </w:pPr>
      <w:r>
        <w:rPr>
          <w:b w:val="0"/>
          <w:i w:val="0"/>
        </w:rPr>
        <w:t>Через передний подшипниковый узел проходит не открытый проём, а герметичный транспортный интерфейс между неподвижной рамой и вращающимся цилиндром. На один цилиндр приходятся два независимых транспортных ствола А и Б; каждый ствол разделён на восходящий и нисходящий канал чистым диаметром 8,0 м. Состав узла включает осевую цапфу, полый транспортный вал, четыре линии шлюзовых камер, вращающуюся герметичную кассету и независимые силовые вводы. Все линии можно изолировать секционными гермодверями до и после вращающегося барьера.</w:t>
      </w:r>
    </w:p>
    <w:p>
      <w:pPr>
        <w:spacing w:after="120"/>
      </w:pPr>
      <w:r>
        <w:rPr>
          <w:b w:val="0"/>
          <w:i w:val="0"/>
        </w:rPr>
        <w:t>Опорный узел выполняется как активный магнитный радиально-осевой подшипник с механическими аварийными ловителями. В каждом из четырёх торцевых узлов размещаются два независимых магнитных контура, датчики положения и охлаждаемые силовые модули. Средний диаметр активного кольца — 400 м, осевая активная ширина — 3,0 м. Статор и силовая электроника закреплены на неподвижной раме, роторный пакет мотор-генератора и транспортный роторный модуль — на осевой цапфе. Моторы и подшипники не крепятся к оболочке и не требуют оборудования в межцилиндровом зазоре. Ловители являются аварийной, а не штатной опорой.</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Предварительно принимается диаметр активного опорного кольца 400 м при ширине 3 м. Два независимых активных пояса имеют по 1,35 м рабочей ширины и разделены сервисной зоной около 0,30 м. Рабочий радиальный зазор принимается 50 мм, осевой — 30 мм до отдельного динамического расчёта. При осевом распоре 10¹⁰ Н среднее расчётное давление кольца составляет около 2,65 МПа. Кольцо находится внутри неподвижного торцевого корпуса и не является наружным ребром цилиндра.</w:t>
      </w:r>
    </w:p>
    <w:p>
      <w:pPr>
        <w:spacing w:after="120"/>
        <w:ind w:firstLine="0"/>
      </w:pPr>
      <w:r>
        <w:rPr>
          <w:b w:val="0"/>
          <w:i w:val="0"/>
        </w:rPr>
        <w:t>Герметизация вращающегося стыка и проход транспортных каналов обеспечиваются трёхконтурной системой. Основной барьер — сегментированное вращающееся торцевое уплотнение вокруг роторного транспортного модуля; контрольный барьер — сухой лабиринт с откачиваемой межбарьерной полостью; технический барьер — магнитожидкостные уплотнения вспомогательных валов и приводов. Магнитожидкостное уплотнение не является единственным барьером, удерживающим атмосферу цилиндра.</w:t>
      </w:r>
    </w:p>
    <w:p>
      <w:pPr>
        <w:pStyle w:val="ListBullet"/>
        <w:spacing w:after="60"/>
        <w:ind w:firstLine="0" w:left="567"/>
      </w:pPr>
      <w:r>
        <w:t>Для каждой из четырёх линий движения принимается последовательность: первая неподвижная камера, вторая неподвижная камера, вращающаяся герметичная кассета, первая вращающаяся приёмная камера, вторая вращающаяся приёмная камера и транспортный канал. Одновременно открывается только одна граница. Каждая линия имеет собственные датчики давления, откачку, продувку и сменную кассету уплотнения. При росте утечки двери по обе стороны вращающегося барьера закрываются автоматически.</w:t>
      </w:r>
    </w:p>
    <w:p>
      <w:pPr>
        <w:pStyle w:val="ListBullet"/>
        <w:spacing w:after="60"/>
        <w:ind w:firstLine="0" w:left="567"/>
      </w:pPr>
      <w:r>
        <w:t>Вращающаяся переходная камера не является карданным подвесом. Кабина входит в неё в неподвижном состоянии, камера синхронизируется с угловой скоростью цилиндра на радиусе около 150 м, затем открывается роторная дверь в соответствующий канал. Пол кабины не доворачивается по меняющейся кажущейся вертикали: угол палубы постоянен и равен 10°.</w:t>
      </w:r>
    </w:p>
    <w:p>
      <w:pPr>
        <w:pStyle w:val="ListBullet"/>
        <w:spacing w:after="60"/>
        <w:ind w:firstLine="0" w:left="567"/>
      </w:pPr>
      <w:r>
        <w:t>Транспортное сообщение осуществляется через две последовательно изолируемые камеры до вращающегося барьера и две после него в каждой линии, а не через открытый проём. Два коридора А и Б при этом остаются отдельными маршрутами, а не последовательными камерами. При неисправности участок между камерами отсекается, поэтому потеря одного уплотнения не разгерметизирует цилиндр.</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прибывает на неподвижный передний причал и проходит карантин, затем одну из четырёх независимых линий коридоров А/Б. После проверки герметичности кабина входит в роторную переходную камеру, которая синхронизируется с угловой скоростью цилиндра на радиусе около 150 м. Через вращающийся гермопереход и полый осевой вал пассажир попадает в защищённый осевой участок передней полусферы, а затем в один из двух зеркальных коридоров — А или Б. В приосевой объём пассажир не выходит.</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r>
              <w:t>17,8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два независимых коридора А и Б, каждый в собственной наклонной шахте, как основное средство сообщения; внутри каждого коридора восходящий и нисходящий каналы работают попарно. От переднего интерфейса до точки разделения на r = 150 м идёт защищённый осевой участок около 2 506 м. Далее коридоры зеркально следуют логарифмическим спиралям от r = 150 м до жилой поверхности r = 5 000 м; расчётная длина спиральной части около 4 923 м, суммарный канонический маршрут — 7 429 м, время поездки — 17,8 минуты. Каждая шахта имеет конструкционное устье Ø30 м и два транспортных канала чистым диаметром 8,0 м. Фуникулёрно-эвакуационный рельс размещён в отдельной сервисной зоне и не считается третьим пассажирским коридором.</w:t>
      </w:r>
    </w:p>
    <w:p>
      <w:pPr>
        <w:spacing w:after="120"/>
      </w:pPr>
      <w:r>
        <w:rPr>
          <w:b w:val="0"/>
          <w:i w:val="0"/>
        </w:rPr>
        <w:t>Отдельного внимания заслуживает поведение системы при отказе энергоснабжения. Герметичные двери переходной камеры и секционные двери шахты закрываются от резервного питания. В основном канале центробежный тормоз ограничивает самопроизвольное движение кабины к жилой поверхности; в сервисной зоне сохраняется механический фуникулёрно-эвакуационный рельс. Потеря одного коридора не лишает цилиндр сообщения: второй коридор остаётся работоспособным с пониженной пропускной способностью.</w:t>
      </w:r>
    </w:p>
    <w:p>
      <w:pPr>
        <w:spacing w:after="120"/>
      </w:pPr>
      <w:r>
        <w:rPr>
          <w:b w:val="0"/>
          <w:i w:val="0"/>
        </w:rPr>
        <w:t>Расчёт пропускной способности: в каждом коридоре работают два восходящих и два нисходящих состава, то есть две пары кабин на шахту. При кабине на 100 человек и интервале 17,8 минуты один коридор обеспечивает около 675 человек в час. Два коридора переднего торца обеспечивают около 1 350 человек в час на цилиндр; при выводе одного коридора остаётся около 338 человек в час. Порожняя кабина массой 5 т возвращает около 34 кВт·ч на рейс; для полной расчётной массы 15 т энергетический эквивалент составляет около 102 кВт·ч до учёта потерь.</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spacing w:after="60"/>
        <w:ind w:firstLine="0" w:left="567"/>
      </w:pPr>
      <w:r>
        <w:t>Подшипниковые узлы воспринимают радиальные и осевые нагрузки, удерживают каждый цилиндр независимо и содержат по два независимых магнитных контура с механическими ловителями. Встроенные мотор-генераторы выполняют раскрутку, корректируют фазу встречного вращения и возвращают энергию в сеть при торможении. Статоры, силовая электроника, охлаждение и кабельные вводы находятся на неподвижных торцевых рамах; к боковой оболочке и к межцилиндровому зазору они не относятся.</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spacing w:after="60"/>
        <w:ind w:firstLine="0" w:left="567"/>
      </w:pPr>
      <w: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r>
              <w:t>93 ГВт (37 %)</w:t>
            </w:r>
          </w:p>
        </w:tc>
      </w:tr>
      <w:tr>
        <w:tc>
          <w:tcPr>
            <w:tcW w:type="dxa" w:w="5102"/>
          </w:tcPr>
          <w:p>
            <w:pPr>
              <w:spacing w:after="40"/>
              <w:ind w:firstLine="0"/>
            </w:pPr>
            <w:r/>
            <w:r>
              <w:rPr>
                <w:sz w:val="20"/>
              </w:rPr>
              <w:t>Тепло, остающееся в конструкции оси</w:t>
            </w:r>
          </w:p>
        </w:tc>
        <w:tc>
          <w:tcPr>
            <w:tcW w:type="dxa" w:w="4252"/>
          </w:tcPr>
          <w:p>
            <w:r>
              <w:t>158 ГВт (63 %)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r>
              <w:t>Температура плавления материала трубы ОСБ</w:t>
            </w:r>
          </w:p>
        </w:tc>
        <w:tc>
          <w:tcPr>
            <w:tcW w:type="dxa" w:w="4252"/>
          </w:tcPr>
          <w:p>
            <w:r>
              <w:t>~1 400 °C (справочно)</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r>
              <w:t>6</w:t>
            </w:r>
          </w:p>
        </w:tc>
      </w:tr>
      <w:tr>
        <w:tc>
          <w:tcPr>
            <w:tcW w:type="dxa" w:w="4844"/>
          </w:tcPr>
          <w:p>
            <w:r>
              <w:t>Подшипниковые узлы, моторы-генераторы и силовая электроника</w:t>
            </w:r>
          </w:p>
        </w:tc>
        <w:tc>
          <w:tcPr>
            <w:tcW w:type="dxa" w:w="4844"/>
          </w:tcPr>
          <w:p>
            <w:r>
              <w:t>2</w:t>
            </w:r>
          </w:p>
        </w:tc>
      </w:tr>
      <w:tr>
        <w:tc>
          <w:tcPr>
            <w:tcW w:type="dxa" w:w="5953"/>
          </w:tcPr>
          <w:p>
            <w:pPr>
              <w:spacing w:after="40"/>
              <w:ind w:firstLine="0"/>
            </w:pPr>
            <w:r/>
            <w:r>
              <w:rPr>
                <w:sz w:val="20"/>
              </w:rPr>
              <w:t>Резерв и потери передачи</w:t>
            </w:r>
          </w:p>
        </w:tc>
        <w:tc>
          <w:tcPr>
            <w:tcW w:type="dxa" w:w="3402"/>
          </w:tcPr>
          <w:p>
            <w:r>
              <w:t>31</w:t>
            </w:r>
          </w:p>
        </w:tc>
      </w:tr>
      <w:tr>
        <w:tc>
          <w:tcPr>
            <w:tcW w:type="dxa" w:w="4844"/>
          </w:tcPr>
          <w:p>
            <w:r>
              <w:t>Удержание станции в точке L1 (п. 11.5)</w:t>
            </w:r>
          </w:p>
        </w:tc>
        <w:tc>
          <w:tcPr>
            <w:tcW w:type="dxa" w:w="4844"/>
          </w:tcPr>
          <w:p>
            <w:r>
              <w:t>63,4</w:t>
            </w:r>
          </w:p>
        </w:tc>
      </w:tr>
      <w:tr>
        <w:tc>
          <w:tcPr>
            <w:tcW w:type="dxa" w:w="5953"/>
          </w:tcPr>
          <w:p>
            <w:pPr>
              <w:spacing w:after="40"/>
              <w:ind w:firstLine="0"/>
            </w:pPr>
            <w:r/>
            <w:r>
              <w:rPr>
                <w:sz w:val="20"/>
              </w:rPr>
              <w:t>ИТОГО электрическая мощность</w:t>
            </w:r>
          </w:p>
        </w:tc>
        <w:tc>
          <w:tcPr>
            <w:tcW w:type="dxa" w:w="3402"/>
          </w:tcPr>
          <w:p>
            <w:r>
              <w:t>721,4</w:t>
            </w:r>
          </w:p>
        </w:tc>
      </w:tr>
      <w:tr>
        <w:tc>
          <w:tcPr>
            <w:tcW w:type="dxa" w:w="5953"/>
          </w:tcPr>
          <w:p>
            <w:pPr>
              <w:spacing w:after="40"/>
              <w:ind w:firstLine="0"/>
            </w:pPr>
            <w:r>
              <w:t>Тепловая мощность реакторов при КПД 45 %</w:t>
            </w:r>
          </w:p>
        </w:tc>
        <w:tc>
          <w:tcPr>
            <w:tcW w:type="dxa" w:w="3402"/>
          </w:tcPr>
          <w:p>
            <w:r>
              <w:t>1 603</w:t>
            </w:r>
          </w:p>
        </w:tc>
      </w:tr>
      <w:tr>
        <w:tc>
          <w:tcPr>
            <w:tcW w:type="dxa" w:w="4844"/>
          </w:tcPr>
          <w:p>
            <w:r>
              <w:t>Из неё уносится струёй масс-драйвера, не греет станцию</w:t>
            </w:r>
          </w:p>
        </w:tc>
        <w:tc>
          <w:tcPr>
            <w:tcW w:type="dxa" w:w="4844"/>
          </w:tcPr>
          <w:p>
            <w:r>
              <w:t>44,4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задней неподвижной ферменной раме позади задних торцов, вне внутреннего пространства цилиндров. На той же раме, но на разнесённых выносных узлах, находятся радиаторы, высоконаправленные антенны, солнечные крылья и двигательные модули; на боковой обшивке цилиндров ничего не размещается.</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размещается радиаторный контур 60 °C на неподвижном выносном узле.</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Солнечные батареи являются отдельным вспомогательным источником на поворотных раскрывающихся крыльях неподвижных узлов. Они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Отдельно полезная внешняя нагрузка q_ext = 152,6 кПа даёт около 898 МПа кольцевого напряжения. Для проектного расчёта к ней добавлены собственные веса гермооболочки, изоляции и силового пояса: q_total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У поворотного крыла, постоянно наведённого на светило, проекция равна собственной площади крыла. Принимается суммарная площадь 586,8 км², набираемая секциями крыльев на четырёх подшипниковых узлах, по 146,7 км² на узел.</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крыло собрано из складных секций, раскрывающихся после выведения наподобие гармошки; в сложенном виде крыло убирается к узлу — это требуется при манёврах, при работе двигателей удержания и при прохождении потоков вещества. Крыло опирается на моторизованный поворотный шарнир с двумя степенями свободы, размещённый на невращающейся части подшипникового узла.</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принимается равной 586,8 км², то есть той же, что дало бы покрытие четырёх куполов, — крылья набираются секциями до этой площади.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r>
              <w:t>71,4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канонический баланс требует сброса 677 ГВт низкотемпературного тепла. Исправленная схема использует 1 022 км² при 60 °C; высокотемпературные 882 ГВт отводятся отдельным контуром при 800 °C.</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r>
              <w:t>2,65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r>
              <w:t>17,8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1 308 МПа, и любое местное утонение равносильно созданию концентратора в оболочке, нагруженной центробежной силой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r>
              <w:t>Свет ОСБ 170 Вт/м²,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от ОСБ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0,58 % полной электрической мощности 721,4 ГВт.</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r>
              <w:t>0,42 %</w:t>
            </w:r>
          </w:p>
        </w:tc>
        <w:tc>
          <w:tcPr>
            <w:tcW w:type="dxa" w:w="2422"/>
          </w:tcPr>
          <w:p>
            <w:r>
              <w:t>0,83 %</w:t>
            </w:r>
          </w:p>
        </w:tc>
        <w:tc>
          <w:tcPr>
            <w:tcW w:type="dxa" w:w="2422"/>
          </w:tcPr>
          <w:p>
            <w:r>
              <w:t>Пропорционально мощности</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подшипниковые узлы, моторы-генераторы и их силовая электроника 2 ГВт (0,28 %), резерв и потери передачи 31 ГВт (4,30 %), жизнеобеспечение 20 ГВт (2,77 %), быт, транспорт и промышленность 6 ГВт (0,83 %). Для магнитных подшипников 2 ГВт — предварительная эксплуатационная квота до отдельного электромагнитного и теплового расчёта; энергия раскрутки и торможения учитывается как отдельный переходный режим. Полная электрическая мощность остаётся 721,4 ГВт.</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на каждый цилиндр. Обе шахты каждого цилиндра размещены в толще переднего торцевого купола; всего на станции четыре шахты. Прежняя схема с сорока шахтами, распределёнными по длине цилиндрических частей, отменена.</w:t>
      </w:r>
    </w:p>
    <w:p>
      <w:r>
        <w:t>Основание решения геометрическое и эксплуатационное. Вход на каждый цилиндр единственен: причал вынесен на отдельную неподвижную переднюю раму, за ним расположены карантинный контур, подшипниковый узел и два независимых коридора А и Б. Внутри каждого коридора восходящий и нисходящий каналы разделены физической гермостенкой. Шахта, проложенная в цилиндрической части, начиналась бы в приосевом объёме и требовала бы отдельного пути вдоль оси; принятая схема проводит защищённый осевой участок внутри передней полусферы, после чего разводит два коридора по зеркальным наклонным трассам.</w:t>
      </w:r>
    </w:p>
    <w:p>
      <w:r>
        <w:t>Длина маршрута разделена на две конструктивные части. Защищённый осевой участок от вращающегося интерфейса до точки разделения r = 150 м имеет около 2 506 м. Логарифмическая спираль от r = 150 м до r = 5 000 м при θ = 10° имеет около 4 923 м; с учётом округления каноническая длина маршрута составляет 7 429 м. Коридоры А и Б являются зеркальными и имеют одинаковую длину. Точная разница в 1–2 м уточняется после задания координат устьев и не влияет на компоновку.</w:t>
      </w:r>
    </w:p>
    <w:p>
      <w:r>
        <w:t>Время поездки по спиральной части получено интегрированием закона постоянного наклона v(r) = ω·r·tg θ / 2 и составляет около 15,2 минуты; оставшееся время до штатных 17,8 минуты приходится на осевой участок, синхронизацию роторной камеры, разгон, торможение и межсекционные ограничения скорости. Скорость у жилой поверхности — 19,5 м/с, у точки разделения — около 0,59 м/с, после чего кабина плавно переходит в роторную приёмную камеру.</w:t>
      </w:r>
    </w:p>
    <w:p>
      <w:r>
        <w:t>Пропускная способность. При кабине на 100 человек и двух парах кабин на коридор интервал отправления равен 17,8 минуты, что даёт около 675 человек в час на один коридор и около 1 350 человек в час на один цилиндр. При выводе одного коридора второй сохраняет около 338 человек в час. Полная транспортная система четырёх коридоров станции даёт около 2 700 человек в час; заселение 500 000 человек при полной работе занимает около 7,7 суток, один цилиндр — около 15,4 суток, а один коридор — около 31 суток. Фактический срок всё равно определяется карантином и остаётся около десяти лет.</w:t>
      </w:r>
    </w:p>
    <w:p>
      <w:r>
        <w:t>Существенно, что это сокращение не является ограничением проекта. Даже консервативная транспортная оценка ниже санитарной пропускной способности не является узким местом при десятилетнем заселении. Карантинный контур и его 40-суточная выдержка определяют реальную скорость приёма людей, а транспорт обеспечивает резерв и возможность ремонта одного коридора без полной потери сообщения.</w:t>
      </w:r>
    </w:p>
    <w:p>
      <w:r>
        <w:t>Сопутствующий выигрыш по массе. Одно устье шахты диаметром 30 м прерывает погонное усилие пояса и требует окантовки массой 27 386 т. В принятой схеме четыре транспортных устья на станции дают около 0,11 млн т собственно окантовки; с учётом причальных и стыковых вырезов расчётная масса локальной окантовки составляет около 0,44 млн т на станцию. Одновременно уменьшается число мест концентрации напряжений в силовом поясе — сорок крупных вырезов были самостоятельным фактором риска.</w:t>
      </w:r>
    </w:p>
    <w:p>
      <w:r>
        <w:t>Резервирование. Два коридора каждого цилиндра обеспечивают взаимное резервирование: при выводе одного на обслуживание второй сохраняет около 338 человек в час. В каждом коридоре отдельный механический фуникулёрно-эвакуационный рельс дублирует привод основной кабины; полную независимость от повреждения всей шахты обеспечивают разнесённые коридоры А и Б.</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исключена. Освещение остаётся реакторным; зеркала и солнечный парус из проекта исключены.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Противометеороидная защита является обязательной частью наружного пакета и не выступает за гладкую внешнюю поверхность: внешняя ударная обшивка, внутренний вакуумный зазор, несколько жертвенных экранов и волокнисто-керамический уловитель дробят частицу до того, как облако обломков достигает гермооболочки и силового пояса. Радиационная защита из реголита и боросиликатного стекла работает как дополнительный слой, но не считается единственным экраном Уиппла. Расчёт B-L пределов для частиц от микрограммового до метрового диапазона, локальная сигнализация пробоя и роботизированная герметизация секций должны быть выполнены отдельным проектом. Все экраны находятся под гладкой наружной обшивкой и не образуют наружных колец или рёбер.</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один из двух коридоров — А или Б — в переднем торцевом куполе (п. 4.7.6, Б.17) и является единственным входом в цилиндр; каждый коридор имеет отдельные каналы вверх и вниз, а внутренняя сеть примыкает к их двум жилым вестибюлям пересадочными узлами.</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двенадцать поселений по 40–45 тысяч жителей, размещённых в тёплых зонах I и II (п. 4.5) и связанных пересадочными узлами магистралей. Довод в пользу очагового расселения технический: сплошной город по всей поверхности потребовал бы сплошных же инженерных сетей, тогда как двенадцать компактных узлов обслуживаются кольцевыми сетями меньшей протяжённости. Довод бытовой не менее весом: житель любого поселения оказывается в пятнадцати минутах ходьбы от поля или леса.</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реакторных установок на неподвижной задней раме по двум независимым силовым вводам к неподвижному статору подшипникового узла. Через герметичный вращающийся токопереход или бесконтактную индуктивную муфту питание поступает на внутренние распределительные шины цилиндра; отдельные вводы питают два независимых магнитных контура, мотор-генераторы, датчики, насосы гермоперехода, четыре транспортных канала и их аварийные системы. Предварительная квота энергобаланса на подшипниковые узлы, приводы и силовую электронику — 2 ГВт; источник — реакторная шина, а не солнечные крылья.</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Ответ прямой: по законам государства регистрации. Станция является космическим объектом, занесённым в регистр Российской Федерации, и на её борту действует российское право — Конституция, Гражданский, Уголовный, Трудовой кодексы. Прецедент отработан на Международной космической станции: каждый её модуль остаётся под юрисдикцией государства-владельца, и это не создаёт затруднений при совместной работе экипажей разных стран.</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Ответ отрицательный, и он не зависит от желания учредителей. Согласно Конвенции Монтевидео 1933 года, отражающей обычную норму, государство обязано обладать постоянным населением, определённой территорией, правительством и способностью вступать в отношения с другими государствами. Второй признак — территория — для космической станции невыполним в принципе: статья II Договора о космосе запрещает присвоение любых участков космического пространства, а корпус станции территорией не является, он является имуществом.</w:t>
      </w:r>
    </w:p>
    <w:p>
      <w:pPr>
        <w:spacing w:after="120"/>
        <w:ind w:firstLine="709"/>
        <w:jc w:val="both"/>
      </w:pPr>
      <w:r>
        <w:rPr>
          <w:sz w:val="24"/>
        </w:rPr>
        <w:t>Попытка провозгласить суверенитет привела бы не к появлению нового государства, а к нарушению международного обязательства Российской Федерации, за которое отвечала бы сама Россия по статье VI Договора. Для проекта это означало бы прекращение поддержки и отзыв лицензии. Ни одно из существующих микрогосударственных образований, включая заявленные на морских платформах, признания не получило.</w:t>
      </w:r>
    </w:p>
    <w:p>
      <w:pPr>
        <w:spacing w:after="120"/>
        <w:ind w:firstLine="709"/>
        <w:jc w:val="both"/>
      </w:pPr>
      <w:r>
        <w:rPr>
          <w:sz w:val="24"/>
        </w:rPr>
        <w:t>Правильная форма — не государство, а международный консорциум с российской юрисдикцией регистрации, сопоставимый по устройству с МКС или с Международным агентством по атомной энергии. Такая форма даёт то, ради чего обычно предлагают государственность: устойчивое управление, собственный правопорядок в пределах регистра, право заключать договоры через государство-участника — и не влечёт международно-противоправного деяния.</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двух цилиндров 3 100,2 км² при скорости коррозии 0,01 мм в год (п. 14.3), дала 104,6 млн т кислорода в год, то есть полное исчерпание примерно за 15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spacing w:after="120"/>
        <w:ind w:firstLine="709"/>
        <w:jc w:val="both"/>
      </w:pPr>
      <w:r>
        <w:rPr>
          <w:sz w:val="24"/>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и точная доля открытого металла жилого объёма остаются нерешёнными. Транспортный интерфейс, передние рамы, два коридора А/Б, четыре канала движения, полый осевой вал и последовательность гермокамер теперь заданы отдельной спецификацией `TRANSPORT_INTERFACE_SPEC_v1.md`, но это ещё не рабочая деталировка помещений.</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Компоновочная база транспортного интерфейса считается закрытой на уровне текстового проектного решения, но следующие проверки остаются обязательными: динамика магнитного подшипника Ø400 м, посадка на механические ловители, МКЭ усиления устьев Ø30 м, ресурс сегментированных уплотнений, тепловое расширение перехода, продольная динамика полной кабины массой 15 т, тормозной путь и радиационная защита закрытой трассы. Настоящий перечень подлежит пересмотру в каждой последующей редакции; закрытые пункты сохраняются с указанием места решения.</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t>Стало (2 коридора / 2 шахты на цилиндр)</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1 350 чел./ч</w:t>
            </w:r>
          </w:p>
        </w:tc>
      </w:tr>
      <w:tr>
        <w:tc>
          <w:tcPr>
            <w:tcW w:type="dxa" w:w="3230"/>
          </w:tcPr>
          <w:p>
            <w:r>
              <w:t>Заселение 500 000 человек</w:t>
            </w:r>
          </w:p>
        </w:tc>
        <w:tc>
          <w:tcPr>
            <w:tcW w:type="dxa" w:w="3230"/>
          </w:tcPr>
          <w:p>
            <w:r>
              <w:t>1,9 сут</w:t>
            </w:r>
          </w:p>
        </w:tc>
        <w:tc>
          <w:tcPr>
            <w:tcW w:type="dxa" w:w="3230"/>
          </w:tcPr>
          <w:p>
            <w:r>
              <w:t>15,4 суток на цилиндр; 7,7 суток на станцию</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 на цилиндр; 4 на станцию</w:t>
            </w:r>
          </w:p>
        </w:tc>
      </w:tr>
      <w:tr>
        <w:tc>
          <w:tcPr>
            <w:tcW w:type="dxa" w:w="3230"/>
          </w:tcPr>
          <w:p>
            <w:r>
              <w:t>Масса окантовки вырезов</w:t>
            </w:r>
          </w:p>
        </w:tc>
        <w:tc>
          <w:tcPr>
            <w:tcW w:type="dxa" w:w="3230"/>
          </w:tcPr>
          <w:p>
            <w:r>
              <w:t>1,42 млн т</w:t>
            </w:r>
          </w:p>
        </w:tc>
        <w:tc>
          <w:tcPr>
            <w:tcW w:type="dxa" w:w="3230"/>
          </w:tcPr>
          <w:p>
            <w:r>
              <w:t>0,44 млн т на станцию</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