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r>
              <w:t>1 308 МПа при пределе 2 000 МПа, запас 1,53</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r>
              <w:t>721,4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r>
        <w:tc>
          <w:tcPr>
            <w:tcW w:type="dxa" w:w="4844"/>
          </w:tcPr>
          <w:p>
            <w:r>
              <w:t>Межосевое расстояние цилиндров</w:t>
            </w:r>
          </w:p>
        </w:tc>
        <w:tc>
          <w:tcPr>
            <w:tcW w:type="dxa" w:w="4844"/>
          </w:tcPr>
          <w:p>
            <w:r>
              <w:t>21 км; свободный вакуумный зазор между оболочками 11 км</w:t>
            </w:r>
          </w:p>
        </w:tc>
      </w:tr>
      <w:tr>
        <w:tc>
          <w:tcPr>
            <w:tcW w:type="dxa" w:w="4844"/>
          </w:tcPr>
          <w:p>
            <w:r>
              <w:t>Оборудование на боковой обшивке</w:t>
            </w:r>
          </w:p>
        </w:tc>
        <w:tc>
          <w:tcPr>
            <w:tcW w:type="dxa" w:w="4844"/>
          </w:tcPr>
          <w:p>
            <w:r>
              <w:t>Отсутствует; все внешние узлы только на передней и задней рамах</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межосевое расстояние составляет 21 км. При диаметре каждого цилиндра 10 км между боковыми оболочками остаётся 11 км свободного вакуумного зазора. Вдоль цилиндрических частей между оболочками нет тоннелей, балок, кабелей, панелей или иных элементов. Каждый цилиндр связан с неподвижной внешней рамой только через передний и задний осевые узлы: цапфы и подшипники.</w:t>
      </w:r>
    </w:p>
    <w:p>
      <w:pPr>
        <w:spacing w:after="120"/>
        <w:ind w:firstLine="0"/>
      </w:pPr>
      <w:r>
        <w:rPr>
          <w:b/>
          <w:i w:val="0"/>
        </w:rPr>
        <w:t>Назначение торцевых полусфер</w:t>
      </w:r>
    </w:p>
    <w:p>
      <w:pPr>
        <w:pStyle w:val="ListBullet"/>
        <w:spacing w:after="60"/>
        <w:ind w:firstLine="0" w:left="567"/>
      </w:pPr>
      <w:r>
        <w:t>Передний торец: на внешней неподвижной раме размещаются модули стыковки, радиаторы и поворотные солнечные крылья. Направление «передний» является компоновочным; ось станции не закрепляется на Солнце.</w:t>
      </w:r>
    </w:p>
    <w:p>
      <w:pPr>
        <w:pStyle w:val="ListBullet"/>
        <w:spacing w:after="60"/>
        <w:ind w:firstLine="0" w:left="567"/>
      </w:pPr>
      <w:r>
        <w:t>Задний торец, номинально связной и Earth-facing в данной компоновочной сцене: на внешней неподвижной раме размещаются высоконаправленные антенны, радиаторы, поворотные солнечные крылья и собственные двигательные модули станции. Наведение антенн и крыльев выполняется независимо от неподвижного корпуса.</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r>
              <w:t>Суммарная внешняя нагрузка q_ext (без собственного веса)</w:t>
            </w:r>
          </w:p>
        </w:tc>
        <w:tc>
          <w:tcPr>
            <w:tcW w:type="dxa" w:w="3685"/>
          </w:tcPr>
          <w:p>
            <w:r>
              <w:t>152,6</w:t>
            </w:r>
          </w:p>
        </w:tc>
      </w:tr>
      <w:tr>
        <w:tc>
          <w:tcPr>
            <w:tcW w:type="dxa" w:w="4844"/>
          </w:tcPr>
          <w:p>
            <w:r>
              <w:t>Гермооболочка и теплоизоляция, собственный вес</w:t>
            </w:r>
          </w:p>
        </w:tc>
        <w:tc>
          <w:tcPr>
            <w:tcW w:type="dxa" w:w="4844"/>
          </w:tcPr>
          <w:p>
            <w:r>
              <w:t>4,3</w:t>
            </w:r>
          </w:p>
        </w:tc>
      </w:tr>
      <w:tr>
        <w:tc>
          <w:tcPr>
            <w:tcW w:type="dxa" w:w="4844"/>
          </w:tcPr>
          <w:p>
            <w:r>
              <w:t>Силовой пояс, собственный вес</w:t>
            </w:r>
          </w:p>
        </w:tc>
        <w:tc>
          <w:tcPr>
            <w:tcW w:type="dxa" w:w="4844"/>
          </w:tcPr>
          <w:p>
            <w:r>
              <w:t>65,4</w:t>
            </w:r>
          </w:p>
        </w:tc>
      </w:tr>
      <w:tr>
        <w:tc>
          <w:tcPr>
            <w:tcW w:type="dxa" w:w="4844"/>
          </w:tcPr>
          <w:p>
            <w:r>
              <w:t>Расчётная нагрузка q_total для σ = qR/t</w:t>
            </w:r>
          </w:p>
        </w:tc>
        <w:tc>
          <w:tcPr>
            <w:tcW w:type="dxa" w:w="4844"/>
          </w:tcPr>
          <w:p>
            <w:r>
              <w:t>222,4</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Каноническое уточнённое значение — 46,70 млрд т. Конструкционный пакет с силовым набором составляет 26,85 млрд т, из них сталь с набором — 22,05 млрд т, или около 47,2 % полной массы. Доля 57 % относилась к отменённой промежуточной разбивке и больше не используется.</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панелей, размещённых только на передней и задней неподвижных ферменных рамах и на четырёх стационарных узлах. Внешняя боковая обшивка цилиндров остаётся гладкой и свободной от оборудования.</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r>
              <w:t>Радиаторные панели передней неподвижной рамы</w:t>
            </w:r>
          </w:p>
        </w:tc>
        <w:tc>
          <w:tcPr>
            <w:tcW w:type="dxa" w:w="1701"/>
          </w:tcPr>
          <w:p>
            <w:r>
              <w:t>220</w:t>
            </w:r>
          </w:p>
        </w:tc>
        <w:tc>
          <w:tcPr>
            <w:tcW w:type="dxa" w:w="3969"/>
          </w:tcPr>
          <w:p>
            <w:r>
              <w:t>Только неподвижная рама; боковая обшивка свободна</w:t>
            </w:r>
          </w:p>
        </w:tc>
      </w:tr>
      <w:tr>
        <w:tc>
          <w:tcPr>
            <w:tcW w:type="dxa" w:w="3685"/>
          </w:tcPr>
          <w:p>
            <w:r>
              <w:t>Радиаторные панели задней неподвижной рамы</w:t>
            </w:r>
          </w:p>
        </w:tc>
        <w:tc>
          <w:tcPr>
            <w:tcW w:type="dxa" w:w="1701"/>
          </w:tcPr>
          <w:p>
            <w:r>
              <w:t>157</w:t>
            </w:r>
          </w:p>
        </w:tc>
        <w:tc>
          <w:tcPr>
            <w:tcW w:type="dxa" w:w="3969"/>
          </w:tcPr>
          <w:p>
            <w:r>
              <w:t>Только неподвижная рама; боковая обшивка свободна</w:t>
            </w:r>
          </w:p>
        </w:tc>
      </w:tr>
      <w:tr>
        <w:tc>
          <w:tcPr>
            <w:tcW w:type="dxa" w:w="3685"/>
          </w:tcPr>
          <w:p>
            <w:r>
              <w:t>Ферменная рама и штатные панели узлов</w:t>
            </w:r>
          </w:p>
        </w:tc>
        <w:tc>
          <w:tcPr>
            <w:tcW w:type="dxa" w:w="1701"/>
          </w:tcPr>
          <w:p>
            <w:r>
              <w:t>100</w:t>
            </w:r>
          </w:p>
        </w:tc>
        <w:tc>
          <w:tcPr>
            <w:tcW w:type="dxa" w:w="3969"/>
          </w:tcPr>
          <w:p>
            <w:r>
              <w:t>Только неподвижная рама; боковая обшивка свободна</w:t>
            </w:r>
          </w:p>
        </w:tc>
      </w:tr>
      <w:tr>
        <w:tc>
          <w:tcPr>
            <w:tcW w:type="dxa" w:w="3685"/>
          </w:tcPr>
          <w:p>
            <w:r>
              <w:t>Развёртываемые радиаторные панели на 4 узлах</w:t>
            </w:r>
          </w:p>
        </w:tc>
        <w:tc>
          <w:tcPr>
            <w:tcW w:type="dxa" w:w="1701"/>
          </w:tcPr>
          <w:p>
            <w:r>
              <w:t>700</w:t>
            </w:r>
          </w:p>
        </w:tc>
        <w:tc>
          <w:tcPr>
            <w:tcW w:type="dxa" w:w="3969"/>
          </w:tcPr>
          <w:p>
            <w:r>
              <w:t>Только неподвижная рама; боковая обшивка свободна</w:t>
            </w:r>
          </w:p>
        </w:tc>
      </w:tr>
      <w:tr>
        <w:tc>
          <w:tcPr>
            <w:tcW w:type="dxa" w:w="3685"/>
          </w:tcPr>
          <w:p>
            <w:r>
              <w:t>Резервные радиаторные панели на неподвижных рамах</w:t>
            </w:r>
          </w:p>
        </w:tc>
        <w:tc>
          <w:tcPr>
            <w:tcW w:type="dxa" w:w="1701"/>
          </w:tcPr>
          <w:p>
            <w:r>
              <w:t>300</w:t>
            </w:r>
          </w:p>
        </w:tc>
        <w:tc>
          <w:tcPr>
            <w:tcW w:type="dxa" w:w="3969"/>
          </w:tcPr>
          <w:p>
            <w:r>
              <w:t>Только неподвижная рама; боковая обшивка свободна</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при 800 °C отводит 882 ГВт отбросного тепла при плотности потока 71,4 кВт/м²; для него требуется около 12,4 км². Радиаторы реакторов, как и низкотемпературные панели, размещены только на неподвижных внешних рамах, а не на оболочках цилиндров.</w:t>
      </w:r>
    </w:p>
    <w:p>
      <w:pPr>
        <w:spacing w:after="120"/>
      </w:pPr>
      <w:r>
        <w:rPr>
          <w:b w:val="0"/>
          <w:i w:val="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r>
              <w:t>Доступ к солнечной энергии для вспомогательных систем</w:t>
            </w:r>
          </w:p>
        </w:tc>
        <w:tc>
          <w:tcPr>
            <w:tcW w:type="dxa" w:w="6746"/>
          </w:tcPr>
          <w:p>
            <w: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2608"/>
          </w:tcPr>
          <w:p>
            <w:pPr>
              <w:spacing w:after="40"/>
              <w:ind w:firstLine="0"/>
            </w:pPr>
            <w:r/>
            <w:r>
              <w:rPr>
                <w:sz w:val="20"/>
              </w:rPr>
              <w:t>Надёжная связь с Землёй</w:t>
            </w:r>
          </w:p>
        </w:tc>
        <w:tc>
          <w:tcPr>
            <w:tcW w:type="dxa" w:w="6746"/>
          </w:tcPr>
          <w:p>
            <w:r>
              <w:t>Прямая видимость, задержка 5,0 с в одну сторону и около 10,0 с при круговом обмене.</w:t>
            </w:r>
          </w:p>
        </w:tc>
      </w:tr>
      <w:tr>
        <w:tc>
          <w:tcPr>
            <w:tcW w:type="dxa" w:w="2608"/>
          </w:tcPr>
          <w:p>
            <w:pPr>
              <w:spacing w:after="40"/>
              <w:ind w:firstLine="0"/>
            </w:pPr>
            <w:r/>
            <w:r>
              <w:rPr>
                <w:sz w:val="20"/>
              </w:rPr>
              <w:t>Транспортная доступность</w:t>
            </w:r>
          </w:p>
        </w:tc>
        <w:tc>
          <w:tcPr>
            <w:tcW w:type="dxa" w:w="6746"/>
          </w:tcPr>
          <w:p>
            <w:r>
              <w:t>Расстояние 1,5 млн км преодолевается за несколько дней; это логистическое преимущество, не ресурсная причина выбора.</w:t>
            </w:r>
          </w:p>
        </w:tc>
      </w:tr>
      <w:tr>
        <w:tc>
          <w:tcPr>
            <w:tcW w:type="dxa" w:w="2608"/>
          </w:tcPr>
          <w:p>
            <w:pPr>
              <w:spacing w:after="40"/>
              <w:ind w:firstLine="0"/>
            </w:pPr>
            <w:r/>
            <w:r>
              <w:rPr>
                <w:sz w:val="20"/>
              </w:rPr>
              <w:t>Стабильные условия освещения</w:t>
            </w:r>
          </w:p>
        </w:tc>
        <w:tc>
          <w:tcPr>
            <w:tcW w:type="dxa" w:w="6746"/>
          </w:tcPr>
          <w:p>
            <w: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вращающейся оболочкой напрямую невозможна. Все штатные операции стыковки выполняются на передней части неподвижной внешней рамы при нулевой относительной скорости; оборудование не крепится к оболочке цилиндра.</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станции (п. 4.10), оба цилиндра установлены на общей ферменной раме через подшипниковые узлы и вращаются относительно неё в противоположные стороны. Рама при этом инерциально неподвижна — она не вращается вовсе, поскольку суммарный момент импульса системы близок к нулю.</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передней части неподвижной рамы, перед передними торцами цилиндров; это основной вход для кораблей, грузов и пассажиров.</w:t>
      </w:r>
    </w:p>
    <w:p>
      <w:pPr>
        <w:pStyle w:val="ListBullet"/>
        <w:spacing w:after="60"/>
        <w:ind w:firstLine="0" w:left="567"/>
      </w:pPr>
      <w:r>
        <w:t>Грузовые терминалы с механизмами перегрузки размещены на передней раме и не передают нагрузку на вращающуюся оболочку.</w:t>
      </w:r>
    </w:p>
    <w:p>
      <w:pPr>
        <w:pStyle w:val="ListBullet"/>
        <w:spacing w:after="60"/>
        <w:ind w:firstLine="0" w:left="567"/>
      </w:pPr>
      <w:r>
        <w:t>Пассажирские шлюзы передней рамы переходят в осевые транспортные тоннели внутри соответствующего цилиндра через подшипниковый узел; межцилиндровых тоннелей нет.</w:t>
      </w:r>
    </w:p>
    <w:p>
      <w:pPr>
        <w:pStyle w:val="ListBullet"/>
        <w:spacing w:after="60"/>
        <w:ind w:firstLine="0" w:left="567"/>
      </w:pPr>
      <w:r>
        <w:t>Резервные причальные места также находятся на передней раме и являются дублированием основного комплекса; задняя рама предназначена для антенн, радиаторов, солнечных крыльев и двигательных модулей.</w:t>
      </w:r>
    </w:p>
    <w:p>
      <w:pPr>
        <w:spacing w:after="120"/>
        <w:ind w:firstLine="0"/>
      </w:pPr>
      <w:r>
        <w:rPr>
          <w:b/>
          <w:i w:val="0"/>
        </w:rPr>
        <w:t>4.7.3. Альтернативная схема: роторный причал на оси цилиндра</w:t>
      </w:r>
    </w:p>
    <w:p>
      <w:pPr>
        <w:spacing w:after="120"/>
      </w:pPr>
      <w:r>
        <w:rPr>
          <w:b w:val="0"/>
          <w:i w:val="0"/>
        </w:rPr>
        <w:t>Прямой роторный причал на оси цилиндра не принимается: он нарушил бы принцип отсутствия оборудования на вращающейся оболочке и усложнил бы герметичность. Доступ внутрь каждого цилиндра выполняется только через передний неподвижный причальный комплекс, подшипниковый узел и внутреннюю транспортную шахту.</w:t>
      </w:r>
    </w:p>
    <w:p>
      <w:pPr>
        <w:spacing w:after="120"/>
      </w:pPr>
      <w:r>
        <w:rPr>
          <w:b w:val="0"/>
          <w:i w:val="0"/>
        </w:rPr>
        <w:t>Сценарий раскрутки корабля вокруг оси исключён из штатной и резервной схемы: корабли не стыкуются с вращающимися частями станции.</w:t>
      </w:r>
    </w:p>
    <w:p>
      <w:pPr>
        <w:spacing w:after="120"/>
      </w:pPr>
      <w:r>
        <w:rPr>
          <w:b w:val="0"/>
          <w:i w:val="0"/>
        </w:rPr>
        <w:t>Резервирование достигается дублированием передних причальных модулей и транспортных шахт, а не созданием роторного причала.</w:t>
      </w:r>
    </w:p>
    <w:p>
      <w:pPr>
        <w:spacing w:after="120"/>
        <w:ind w:firstLine="0"/>
      </w:pPr>
      <w:r>
        <w:rPr>
          <w:b/>
          <w:i w:val="0"/>
        </w:rPr>
        <w:t>4.7.4. Подшипниковый узел как элемент транспортной системы</w:t>
      </w:r>
    </w:p>
    <w:p>
      <w:pPr>
        <w:spacing w:after="120"/>
      </w:pPr>
      <w:r>
        <w:rPr>
          <w:b w:val="0"/>
          <w:i w:val="0"/>
        </w:rPr>
        <w:t>Через подшипниковые узлы проходит весь транспортный поток между неподвижной рамой и вращающимися цилиндрами, поэтому их параметры определяются не только механикой, но и требованиями транспорта и герметичности.</w:t>
      </w:r>
    </w:p>
    <w:p>
      <w:pPr>
        <w:spacing w:after="120"/>
      </w:pPr>
      <w:r>
        <w:rPr>
          <w:b w:val="0"/>
          <w:i w:val="0"/>
        </w:rPr>
        <w:t>Скорости скольжения в узле невелики. При диаметре опорного кольца 400 м окружная скорость составляет 8,9 м/с, что на порядок ниже скоростей в подшипниках энергетических турбин (50–100 м/с). Механическая сторона задачи трудности не представляет.</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Принимается диаметр опорного кольца 400 м при ширине 3 м, что даёт контактное давление 2,7 МПа — приемлемую величину для магнитных опор с механическим резервированием. Кольцо такого размера сопоставимо с крупным стадионом и одновременно служит несущей конструкцией для транспортных тоннелей, проходящих внутри него.</w:t>
      </w:r>
    </w:p>
    <w:p>
      <w:pPr>
        <w:spacing w:after="120"/>
        <w:ind w:firstLine="0"/>
      </w:pPr>
      <w:r>
        <w:rPr>
          <w:b w:val="0"/>
          <w:i w:val="0"/>
        </w:rPr>
        <w:t>Герметизация вращающегося стыка обеспечивается многоступенчатой системой:</w:t>
      </w:r>
    </w:p>
    <w:p>
      <w:pPr>
        <w:pStyle w:val="ListBullet"/>
        <w:spacing w:after="60"/>
        <w:ind w:firstLine="0" w:left="567"/>
      </w:pPr>
      <w:r>
        <w:t>Магнитожидкостное уплотнение (феррофлюид, удерживаемый магнитным полем) как основное средство — не имеет механического износа и обеспечивает полную герметичность.</w:t>
      </w:r>
    </w:p>
    <w:p>
      <w:pPr>
        <w:pStyle w:val="ListBullet"/>
        <w:spacing w:after="60"/>
        <w:ind w:firstLine="0" w:left="567"/>
      </w:pPr>
      <w:r>
        <w:t>Лабиринтное уплотнение с откачкой промежуточной полости как резерв.</w:t>
      </w:r>
    </w:p>
    <w:p>
      <w:pPr>
        <w:pStyle w:val="ListBullet"/>
        <w:spacing w:after="60"/>
        <w:ind w:firstLine="0" w:left="567"/>
      </w:pPr>
      <w:r>
        <w:t>Транспортное сообщение осуществляется через шлюзовые камеры, а не через открытый проём, что исключает прямое сообщение объёмов.</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прибывший на причал у торца, находится в невесомости и должен приобрести окружную скорость 221,5 м/с и вес в 1 g. Вращение сообщается ему подшипниковым узлом причала, после чего переход выполняется одной из двух наклонных шахт в толще переднего торцевого купола. В приосевой объём пассажир при этом не попадает: он закрыт для людей по условиям п. 4.13.11.</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r>
              <w:t>17,8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наклонная шахта как основное средство, фуникулёр по склону как независимый дублирующий маршрут. Существенно, что шахта проложена не в свободном приосевом объёме, а в толще торцевого купола: причал вынесен на неподвижную раму перед торцом, за ним следует подшипниковый узел, и далее путь идёт внутри конструкции от r = 150 м до обода r = 5 000 м. Шахт две, обе в переднем торце (п. Б.17). Длина пути 7 429 м, время 17,8 минуты, кабина на 100 человек, карданный подвес не требуется. Причина такой прокладки изложена в п. 4.13.11: приосевой объём непригоден для присутствия людей. Фуникулёр сохраняется на случай закрытия шахты на обслуживание.</w:t>
      </w:r>
    </w:p>
    <w:p>
      <w:pPr>
        <w:spacing w:after="120"/>
      </w:pPr>
      <w:r>
        <w:rPr>
          <w:b w:val="0"/>
          <w:i w:val="0"/>
        </w:rPr>
        <w:t>Отдельного внимания заслуживает поведение системы при отказе энергоснабжения. В наклонной шахте обесточивание не создаёт аварийной ситуации: центробежная сила увлекает кабину к жилой поверхности, то есть в сторону, безопасную для людей. Скорость такого спуска ограничивает центробежный тормоз, сила прижима которого сама пропорциональна местной тяжести. Механизм саморегулируется, не требует питания и не содержит электроники — свойство, которое для системы со сроком службы в столетия существеннее любого выигрыша в скорости.</w:t>
      </w:r>
    </w:p>
    <w:p>
      <w:pPr>
        <w:spacing w:after="120"/>
      </w:pPr>
      <w:r>
        <w:rPr>
          <w:b w:val="0"/>
          <w:i w:val="0"/>
        </w:rPr>
        <w:t>Расчёт пропускной способности: при парной работе кабин (спускающаяся уравновешивает поднимающуюся, отдавая энергию в сеть) две шахты переднего торца при двух парах кабин на шахту обеспечивают около 675 человек в час на цилиндр, и заселение 500 000 человек занимает около 31 суток (п. Б.17). Энергия спуска рекуперируется: кабина массой 5 т возвращает в сеть около 34 кВт·ч за рейс.</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осевых транспортных тоннелей внутри каждого цилиндра и герметичных переходов через его подшипниковый узел; межцилиндровых тоннелей нет.</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двух внешних неподвижных рамных узлах — переднем и заднем — через осевые цапфы и подшипники. Рамы находятся за плоскостями торцевых полусфер; боковые оболочки и пространство между ними вдоль цилиндрической части остаются свободными.</w:t>
      </w:r>
    </w:p>
    <w:p>
      <w:pPr>
        <w:pStyle w:val="ListBullet"/>
        <w:spacing w:after="60"/>
        <w:ind w:firstLine="0" w:left="567"/>
      </w:pPr>
      <w:r>
        <w:t>Подшипниковые узлы воспринимают радиальные и осевые нагрузки, позволяя каждому цилиндру вращаться независимо.</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Ось станции остаётся неподвижной в инерциальном пространстве; ориентация на Солнце не является функцией конструкции. Связные антенны, радиаторы и солнечные крылья на рамах наводятся собственными приводами.</w:t>
      </w:r>
    </w:p>
    <w:p>
      <w:pPr>
        <w:pStyle w:val="ListBullet"/>
        <w:spacing w:after="60"/>
        <w:ind w:firstLine="0" w:left="567"/>
      </w:pPr>
      <w:r>
        <w:t>Для перемещения станции и выхода из L1 собственные двигательные модули размещаются на задней неподвижной раме, номинально Earth-facing. Их силовые фермы и сопла не связаны с оболочками цилиндров; тяга замыкается через задние рамные узлы, цапфы и подшипниковые корпуса. Корабли с двигателями могут выполнять вспомогательные буксировочные операции только после стыковки с передними модулями и не являются частью несущей схемы станции. При манёврах разгона тяга двигателей создаёт продольную силу, воспринимаемую неподвижной рамой.</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r>
              <w:t>93 ГВт (37 %)</w:t>
            </w:r>
          </w:p>
        </w:tc>
      </w:tr>
      <w:tr>
        <w:tc>
          <w:tcPr>
            <w:tcW w:type="dxa" w:w="5102"/>
          </w:tcPr>
          <w:p>
            <w:pPr>
              <w:spacing w:after="40"/>
              <w:ind w:firstLine="0"/>
            </w:pPr>
            <w:r/>
            <w:r>
              <w:rPr>
                <w:sz w:val="20"/>
              </w:rPr>
              <w:t>Тепло, остающееся в конструкции оси</w:t>
            </w:r>
          </w:p>
        </w:tc>
        <w:tc>
          <w:tcPr>
            <w:tcW w:type="dxa" w:w="4252"/>
          </w:tcPr>
          <w:p>
            <w:r>
              <w:t>158 ГВт (63 %)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r>
              <w:t>Температура плавления материала трубы ОСБ</w:t>
            </w:r>
          </w:p>
        </w:tc>
        <w:tc>
          <w:tcPr>
            <w:tcW w:type="dxa" w:w="4252"/>
          </w:tcPr>
          <w:p>
            <w:r>
              <w:t>~1 400 °C (справочно)</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r>
              <w:t>6</w:t>
            </w:r>
          </w:p>
        </w:tc>
      </w:tr>
      <w:tr>
        <w:tc>
          <w:tcPr>
            <w:tcW w:type="dxa" w:w="5953"/>
          </w:tcPr>
          <w:p>
            <w:pPr>
              <w:spacing w:after="40"/>
              <w:ind w:firstLine="0"/>
            </w:pPr>
            <w:r/>
            <w:r>
              <w:rPr>
                <w:sz w:val="20"/>
              </w:rPr>
              <w:t>Резерв и потери передачи</w:t>
            </w:r>
          </w:p>
        </w:tc>
        <w:tc>
          <w:tcPr>
            <w:tcW w:type="dxa" w:w="3402"/>
          </w:tcPr>
          <w:p>
            <w:r>
              <w:t>33</w:t>
            </w:r>
          </w:p>
        </w:tc>
      </w:tr>
      <w:tr>
        <w:tc>
          <w:tcPr>
            <w:tcW w:type="dxa" w:w="4844"/>
          </w:tcPr>
          <w:p>
            <w:r>
              <w:t>Удержание станции в точке L1 (п. 11.5)</w:t>
            </w:r>
          </w:p>
        </w:tc>
        <w:tc>
          <w:tcPr>
            <w:tcW w:type="dxa" w:w="4844"/>
          </w:tcPr>
          <w:p>
            <w:r>
              <w:t>63,4</w:t>
            </w:r>
          </w:p>
        </w:tc>
      </w:tr>
      <w:tr>
        <w:tc>
          <w:tcPr>
            <w:tcW w:type="dxa" w:w="5953"/>
          </w:tcPr>
          <w:p>
            <w:pPr>
              <w:spacing w:after="40"/>
              <w:ind w:firstLine="0"/>
            </w:pPr>
            <w:r/>
            <w:r>
              <w:rPr>
                <w:sz w:val="20"/>
              </w:rPr>
              <w:t>ИТОГО электрическая мощность</w:t>
            </w:r>
          </w:p>
        </w:tc>
        <w:tc>
          <w:tcPr>
            <w:tcW w:type="dxa" w:w="3402"/>
          </w:tcPr>
          <w:p>
            <w:r>
              <w:t>721,4</w:t>
            </w:r>
          </w:p>
        </w:tc>
      </w:tr>
      <w:tr>
        <w:tc>
          <w:tcPr>
            <w:tcW w:type="dxa" w:w="5953"/>
          </w:tcPr>
          <w:p>
            <w:pPr>
              <w:spacing w:after="40"/>
              <w:ind w:firstLine="0"/>
            </w:pPr>
            <w:r>
              <w:t>Тепловая мощность реакторов при КПД 45 %</w:t>
            </w:r>
          </w:p>
        </w:tc>
        <w:tc>
          <w:tcPr>
            <w:tcW w:type="dxa" w:w="3402"/>
          </w:tcPr>
          <w:p>
            <w:r>
              <w:t>1 603</w:t>
            </w:r>
          </w:p>
        </w:tc>
      </w:tr>
      <w:tr>
        <w:tc>
          <w:tcPr>
            <w:tcW w:type="dxa" w:w="4844"/>
          </w:tcPr>
          <w:p>
            <w:r>
              <w:t>Из неё уносится струёй масс-драйвера, не греет станцию</w:t>
            </w:r>
          </w:p>
        </w:tc>
        <w:tc>
          <w:tcPr>
            <w:tcW w:type="dxa" w:w="4844"/>
          </w:tcPr>
          <w:p>
            <w:r>
              <w:t>44,4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задней неподвижной ферменной раме позади задних торцов, вне внутреннего пространства цилиндров. На той же раме, но на разнесённых выносных узлах, находятся радиаторы, высоконаправленные антенны, солнечные крылья и двигательные модули; на боковой обшивке цилиндров ничего не размещается.</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размещается радиаторный контур 60 °C на неподвижном выносном узле.</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Солнечные батареи являются отдельным вспомогательным источником на поворотных раскрывающихся крыльях неподвижных узлов. Они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Отдельно полезная внешняя нагрузка q_ext = 152,6 кПа даёт около 898 МПа кольцевого напряжения. Для проектного расчёта к ней добавлены собственные веса гермооболочки, изоляции и силового пояса: q_total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Шпангоуты и стрингеры находятся на внутренней стороне пакета, под внешней обшивкой, и обеспечивают местную устойчивость оболочки вблизи вырезов и внутренних силовых узлов. На внешней поверхности цилиндров рёбер, шпангоутов, стрингеров, кабелей, панелей и оборудования нет; она остаётся гладкой.</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120" w:before="280"/>
        <w:ind w:firstLine="0"/>
        <w:jc w:val="center"/>
        <w:outlineLvl w:val="1"/>
      </w:pPr>
      <w:bookmarkStart w:id="1052" w:name="_Toc1052"/>
      <w:r>
        <w:rPr>
          <w:b/>
          <w:sz w:val="26"/>
        </w:rPr>
        <w:t>7.7. Солнечные батареи носовых куполов</w:t>
      </w:r>
      <w:bookmarkEnd w:id="1052"/>
    </w:p>
    <w:p>
      <w:pPr>
        <w:spacing w:after="120"/>
        <w:ind w:firstLine="709"/>
        <w:jc w:val="both"/>
      </w:pPr>
      <w:r>
        <w:rPr>
          <w:sz w:val="24"/>
        </w:rPr>
        <w:t>Решением руководителя проекта от 8 сентября 2026 года в состав станции вводится дополнительный источник энергии: фотоэлектрические батареи, покрывающие поверхность носового купола каждого цилиндра. Решение не отменяет реакторную установку, остающуюся основным источником, и не восстанавливает отменённые зеркала: батареи преобразуют свет в электричество, а не освещают внутренний объём.</w:t>
      </w:r>
    </w:p>
    <w:p>
      <w:pPr>
        <w:spacing w:after="120"/>
        <w:ind w:firstLine="709"/>
        <w:jc w:val="both"/>
      </w:pPr>
      <w:r>
        <w:rPr>
          <w:sz w:val="24"/>
        </w:rPr>
        <w:t>Площадь и мощность. Собираемая мощность определяется площадью проекции батарей на направление луча. У поворотного крыла, постоянно наведённого на светило, проекция равна собственной площади крыла. Принимается суммарная площадь 586,8 км², набираемая секциями крыльев на четырёх подшипниковых узлах, по 146,7 км² на узел.</w:t>
      </w:r>
    </w:p>
    <w:p>
      <w:pPr>
        <w:spacing w:after="120"/>
        <w:ind w:firstLine="709"/>
        <w:jc w:val="both"/>
      </w:pPr>
      <w:r>
        <w:rPr>
          <w:sz w:val="24"/>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spacing w:after="120"/>
        <w:ind w:firstLine="709"/>
        <w:jc w:val="both"/>
      </w:pPr>
      <w:r>
        <w:rPr>
          <w:sz w:val="24"/>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spacing w:after="120"/>
        <w:ind w:firstLine="709"/>
        <w:jc w:val="both"/>
      </w:pPr>
      <w:r>
        <w:rPr>
          <w:sz w:val="24"/>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spacing w:after="120"/>
        <w:ind w:firstLine="709"/>
        <w:jc w:val="both"/>
      </w:pPr>
      <w:r>
        <w:rPr>
          <w:sz w:val="24"/>
        </w:rPr>
        <w:t>Принимаемое решение руководителя проекта: батареи выполняются не покрытием куполов, а раскрывающимися поворотными крыльями, установленными на подшипниковых узлах. Такое исполнение решает задачу ориентации прямо: крылья доворачиваются к светилу независимо от неподвижного корпуса, и станция получает полную мощность круглый год, тогда как неподвижное покрытие купола давало бы её лишь половину года.</w:t>
      </w:r>
    </w:p>
    <w:p>
      <w:pPr>
        <w:spacing w:after="120"/>
        <w:ind w:firstLine="709"/>
        <w:jc w:val="both"/>
      </w:pPr>
      <w:r>
        <w:rPr>
          <w:sz w:val="24"/>
        </w:rPr>
        <w:t>Устройство крыла. Каждое крыло собрано из складных секций, раскрывающихся после выведения наподобие гармошки; в сложенном виде крыло убирается к узлу — это требуется при манёврах, при работе двигателей удержания и при прохождении потоков вещества. Крыло опирается на моторизованный поворотный шарнир с двумя степенями свободы, размещённый на невращающейся части подшипникового узла.</w:t>
      </w:r>
    </w:p>
    <w:p>
      <w:pPr>
        <w:spacing w:after="120"/>
        <w:ind w:firstLine="709"/>
        <w:jc w:val="both"/>
      </w:pPr>
      <w:r>
        <w:rPr>
          <w:sz w:val="24"/>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spacing w:after="120"/>
        <w:ind w:firstLine="709"/>
        <w:jc w:val="both"/>
      </w:pPr>
      <w:r>
        <w:rPr>
          <w:sz w:val="24"/>
        </w:rPr>
        <w:t>Расчётная площадь принимается равной 586,8 км², то есть той же, что дало бы покрытие четырёх куполов, — крылья набираются секциями до этой площади.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spacing w:after="120"/>
        <w:ind w:firstLine="709"/>
        <w:jc w:val="both"/>
      </w:pPr>
      <w:r>
        <w:rPr>
          <w:sz w:val="24"/>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keepNext/>
        <w:spacing w:after="200" w:before="400"/>
        <w:ind w:firstLine="0"/>
        <w:jc w:val="center"/>
        <w:outlineLvl w:val="0"/>
      </w:pPr>
      <w:bookmarkStart w:id="1053" w:name="_Toc1053"/>
      <w:r>
        <w:rPr>
          <w:b/>
          <w:sz w:val="30"/>
        </w:rPr>
        <w:t>8. ПРОГРАММА ДОБЫЧИ ЛЕТУЧИХ И ВОДЫ</w:t>
      </w:r>
      <w:bookmarkEnd w:id="1053"/>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4" w:name="_Toc1054"/>
      <w:r>
        <w:rPr>
          <w:b/>
          <w:sz w:val="26"/>
        </w:rPr>
        <w:t>8.1. Состав потребных летучих</w:t>
      </w:r>
      <w:bookmarkEnd w:id="1054"/>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5" w:name="_Toc1055"/>
      <w:r>
        <w:rPr>
          <w:b/>
          <w:sz w:val="26"/>
        </w:rPr>
        <w:t>8.2. Кислород: отдельной программы не требуется</w:t>
      </w:r>
      <w:bookmarkEnd w:id="1055"/>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6" w:name="_Toc1056"/>
      <w:r>
        <w:rPr>
          <w:b/>
          <w:sz w:val="26"/>
        </w:rPr>
        <w:t>8.3. Вода: достижимо</w:t>
      </w:r>
      <w:bookmarkEnd w:id="1056"/>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7" w:name="_Toc1057"/>
      <w:r>
        <w:rPr>
          <w:b/>
          <w:sz w:val="26"/>
        </w:rPr>
        <w:t>8.4. Азот: позиция, определяющая программу</w:t>
      </w:r>
      <w:bookmarkEnd w:id="1057"/>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8" w:name="_Toc1058"/>
      <w:r>
        <w:rPr>
          <w:b/>
          <w:sz w:val="26"/>
        </w:rPr>
        <w:t>8.5. Пересмотр требования: снижение потребности в азоте</w:t>
      </w:r>
      <w:bookmarkEnd w:id="1058"/>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9" w:name="_Toc1059"/>
      <w:r>
        <w:rPr>
          <w:b/>
          <w:sz w:val="26"/>
        </w:rPr>
        <w:t>8.6. Уточнение доли бытового потребления электроэнергии</w:t>
      </w:r>
      <w:bookmarkEnd w:id="1059"/>
    </w:p>
    <w:p>
      <w:pPr>
        <w:keepNext/>
        <w:spacing w:after="120" w:before="280"/>
        <w:ind w:firstLine="0"/>
        <w:jc w:val="center"/>
        <w:outlineLvl w:val="1"/>
      </w:pPr>
      <w:bookmarkStart w:id="1060" w:name="_Toc1060"/>
      <w:r>
        <w:rPr>
          <w:b/>
          <w:sz w:val="26"/>
        </w:rPr>
        <w:t>8.7. Размещение ресурсных тел в Солнечной системе</w:t>
      </w:r>
      <w:bookmarkEnd w:id="1060"/>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1" w:name="_Toc1061"/>
      <w:r>
        <w:rPr>
          <w:b/>
          <w:sz w:val="30"/>
        </w:rPr>
        <w:t>9. КАРАНТИННЫЙ КОНТУР</w:t>
      </w:r>
      <w:bookmarkEnd w:id="1061"/>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2" w:name="_Toc1062"/>
      <w:r>
        <w:rPr>
          <w:b/>
          <w:sz w:val="26"/>
        </w:rPr>
        <w:t>9.1. Размещение и принцип</w:t>
      </w:r>
      <w:bookmarkEnd w:id="1062"/>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3" w:name="_Toc1063"/>
      <w:r>
        <w:rPr>
          <w:b/>
          <w:sz w:val="26"/>
        </w:rPr>
        <w:t>9.2. Люди: выдержка сорок суток</w:t>
      </w:r>
      <w:bookmarkEnd w:id="1063"/>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4" w:name="_Toc1064"/>
      <w:r>
        <w:rPr>
          <w:b/>
          <w:sz w:val="26"/>
        </w:rPr>
        <w:t>9.3. Противоречие с расчётным сроком заселения</w:t>
      </w:r>
      <w:bookmarkEnd w:id="1064"/>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5" w:name="_Toc1065"/>
      <w:r>
        <w:rPr>
          <w:b/>
          <w:sz w:val="26"/>
        </w:rPr>
        <w:t>9.4. Живое: семена, почвенная биота, насекомые</w:t>
      </w:r>
      <w:bookmarkEnd w:id="1065"/>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6" w:name="_Toc1066"/>
      <w:r>
        <w:rPr>
          <w:b/>
          <w:sz w:val="26"/>
        </w:rPr>
        <w:t>9.5. Грузы и оборудование</w:t>
      </w:r>
      <w:bookmarkEnd w:id="1066"/>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7" w:name="_Toc1067"/>
      <w:r>
        <w:rPr>
          <w:b/>
          <w:sz w:val="26"/>
        </w:rPr>
        <w:t>9.6. Воздух и вода шлюза</w:t>
      </w:r>
      <w:bookmarkEnd w:id="1067"/>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8" w:name="_Toc1068"/>
      <w:r>
        <w:rPr>
          <w:b/>
          <w:sz w:val="26"/>
        </w:rPr>
        <w:t>9.7. Внутренний контроль</w:t>
      </w:r>
      <w:bookmarkEnd w:id="1068"/>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9" w:name="_Toc1069"/>
      <w:r>
        <w:rPr>
          <w:b/>
          <w:sz w:val="30"/>
        </w:rPr>
        <w:t>10. ИЗГОТОВЛЕНИЕ И МОНТАЖ ОБОЛОЧКИ</w:t>
      </w:r>
      <w:bookmarkEnd w:id="1069"/>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70" w:name="_Toc1070"/>
      <w:r>
        <w:rPr>
          <w:b/>
          <w:sz w:val="26"/>
        </w:rPr>
        <w:t>10.1. Исходное ограничение: отливка целиком невозможна</w:t>
      </w:r>
      <w:bookmarkEnd w:id="1070"/>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1" w:name="_Toc1071"/>
      <w:r>
        <w:rPr>
          <w:b/>
          <w:sz w:val="26"/>
        </w:rPr>
        <w:t>10.2. Литьё в невесомости: преимущества</w:t>
      </w:r>
      <w:bookmarkEnd w:id="1071"/>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2" w:name="_Toc1072"/>
      <w:r>
        <w:rPr>
          <w:b/>
          <w:sz w:val="26"/>
        </w:rPr>
        <w:t>10.3. Литьё в невесомости: осложняющие обстоятельства</w:t>
      </w:r>
      <w:bookmarkEnd w:id="1072"/>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3" w:name="_Toc1073"/>
      <w:r>
        <w:rPr>
          <w:b/>
          <w:sz w:val="26"/>
        </w:rPr>
        <w:t>10.4. Выбор размера панели</w:t>
      </w:r>
      <w:bookmarkEnd w:id="1073"/>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4" w:name="_Toc1074"/>
      <w:r>
        <w:rPr>
          <w:b/>
          <w:sz w:val="26"/>
        </w:rPr>
        <w:t>10.5. Силовой набор</w:t>
      </w:r>
      <w:bookmarkEnd w:id="1074"/>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5" w:name="_Toc1075"/>
      <w:r>
        <w:rPr>
          <w:b/>
          <w:sz w:val="26"/>
        </w:rPr>
        <w:t>10.6. Последовательность сборки</w:t>
      </w:r>
      <w:bookmarkEnd w:id="1075"/>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6" w:name="_Toc1076"/>
      <w:r>
        <w:rPr>
          <w:b/>
          <w:sz w:val="26"/>
        </w:rPr>
        <w:t>10.7. Потребность в орбитальном производстве</w:t>
      </w:r>
      <w:bookmarkEnd w:id="1076"/>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7" w:name="_Toc1077"/>
      <w:r>
        <w:rPr>
          <w:b/>
          <w:sz w:val="30"/>
        </w:rPr>
        <w:t>ПРИЛОЖЕНИЕ А. ПРОТОКОЛ РАСЧЁТНОЙ ВЕРИФИКАЦИИ</w:t>
      </w:r>
      <w:bookmarkEnd w:id="1077"/>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8" w:name="_Toc1078"/>
      <w:r>
        <w:rPr>
          <w:b/>
          <w:sz w:val="26"/>
        </w:rPr>
        <w:t>А.1. Подтверждённые расчёты</w:t>
      </w:r>
      <w:bookmarkEnd w:id="107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r>
              <w:t>71,4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9" w:name="_Toc1079"/>
      <w:r>
        <w:rPr>
          <w:b/>
          <w:sz w:val="26"/>
        </w:rPr>
        <w:t>А.2. Стальное исполнение: условия применимости</w:t>
      </w:r>
      <w:bookmarkEnd w:id="1079"/>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80" w:name="_Toc1080"/>
      <w:r>
        <w:rPr>
          <w:b/>
          <w:sz w:val="26"/>
        </w:rPr>
        <w:t>А.3. Пересмотр первый: тепловой сброс был занижен втрое</w:t>
      </w:r>
      <w:bookmarkEnd w:id="1080"/>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канонический баланс требует сброса 677 ГВт низкотемпературного тепла. Исправленная схема использует 1 022 км² при 60 °C; высокотемпературные 882 ГВт отводятся отдельным контуром при 800 °C.</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1" w:name="_Toc1081"/>
      <w:r>
        <w:rPr>
          <w:b/>
          <w:sz w:val="26"/>
        </w:rPr>
        <w:t>А.4. Пересмотр второй: мощность реакторов</w:t>
      </w:r>
      <w:bookmarkEnd w:id="1081"/>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2" w:name="_Toc1082"/>
      <w:r>
        <w:rPr>
          <w:b/>
          <w:sz w:val="26"/>
        </w:rPr>
        <w:t>А.5. Пересмотр третий: толщина грунта</w:t>
      </w:r>
      <w:bookmarkEnd w:id="1082"/>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3" w:name="_Toc1083"/>
      <w:r>
        <w:rPr>
          <w:b/>
          <w:sz w:val="26"/>
        </w:rPr>
        <w:t>А.6. Уточнения без пересмотра решений</w:t>
      </w:r>
      <w:bookmarkEnd w:id="1083"/>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4" w:name="_Toc1084"/>
      <w:r>
        <w:rPr>
          <w:b/>
          <w:sz w:val="26"/>
        </w:rPr>
        <w:t>А.7. Ресурсная напряжённость — главный риск проекта</w:t>
      </w:r>
      <w:bookmarkEnd w:id="1084"/>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5" w:name="_Toc1085"/>
      <w:r>
        <w:rPr>
          <w:b/>
          <w:sz w:val="26"/>
        </w:rPr>
        <w:t>А.8. Проверка стыковки и перехода на вращающуюся поверхность</w:t>
      </w:r>
      <w:bookmarkEnd w:id="1085"/>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pPr>
              <w:spacing w:after="40"/>
              <w:ind w:firstLine="0"/>
            </w:pPr>
            <w:r/>
            <w:r>
              <w:rPr>
                <w:sz w:val="20"/>
              </w:rPr>
              <w:t>2,7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6" w:name="_Toc1086"/>
      <w:r>
        <w:rPr>
          <w:b/>
          <w:sz w:val="26"/>
        </w:rPr>
        <w:t>А.9. Проверка немеханических способов перехода</w:t>
      </w:r>
      <w:bookmarkEnd w:id="1086"/>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pPr>
              <w:spacing w:after="40"/>
              <w:ind w:firstLine="0"/>
            </w:pPr>
            <w:r>
              <w:t>18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7" w:name="_Toc1087"/>
      <w:r>
        <w:rPr>
          <w:b/>
          <w:sz w:val="26"/>
        </w:rPr>
        <w:t>А.10. Общий вывод</w:t>
      </w:r>
      <w:bookmarkEnd w:id="1087"/>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8" w:name="_Toc1088"/>
      <w:r>
        <w:rPr>
          <w:b/>
          <w:sz w:val="30"/>
        </w:rPr>
        <w:t>ПРИЛОЖЕНИЕ Б. ОБОСНОВАНИЕ РАСЧЁТОВ</w:t>
      </w:r>
      <w:bookmarkEnd w:id="1088"/>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9" w:name="_Toc1089"/>
      <w:r>
        <w:rPr>
          <w:b/>
          <w:sz w:val="26"/>
        </w:rPr>
        <w:t>Б.1. Кинематика вращения</w:t>
      </w:r>
      <w:bookmarkEnd w:id="1089"/>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90" w:name="_Toc1090"/>
      <w:r>
        <w:rPr>
          <w:b/>
          <w:sz w:val="26"/>
        </w:rPr>
        <w:t>Б.2. Геометрия и объёмы</w:t>
      </w:r>
      <w:bookmarkEnd w:id="1090"/>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1" w:name="_Toc1091"/>
      <w:r>
        <w:rPr>
          <w:b/>
          <w:sz w:val="26"/>
        </w:rPr>
        <w:t>Б.3. Прочность оболочки</w:t>
      </w:r>
      <w:bookmarkEnd w:id="1091"/>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2" w:name="_Toc1092"/>
      <w:r>
        <w:rPr>
          <w:b/>
          <w:sz w:val="26"/>
        </w:rPr>
        <w:t>Б.4. Массы</w:t>
      </w:r>
      <w:bookmarkEnd w:id="1092"/>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3" w:name="_Toc1093"/>
      <w:r>
        <w:rPr>
          <w:b/>
          <w:sz w:val="26"/>
        </w:rPr>
        <w:t>Б.5. Энергетика и теплоотвод</w:t>
      </w:r>
      <w:bookmarkEnd w:id="1093"/>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keepNext/>
        <w:spacing w:after="120" w:before="280"/>
        <w:ind w:firstLine="0"/>
        <w:jc w:val="center"/>
        <w:outlineLvl w:val="1"/>
      </w:pPr>
      <w:bookmarkStart w:id="1094" w:name="_Toc1094"/>
      <w:r>
        <w:rPr>
          <w:b/>
          <w:sz w:val="26"/>
        </w:rPr>
        <w:t>Б.6. Биосфера</w:t>
      </w:r>
      <w:bookmarkEnd w:id="1094"/>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5" w:name="_Toc1095"/>
      <w:r>
        <w:rPr>
          <w:b/>
          <w:sz w:val="26"/>
        </w:rPr>
        <w:t>Б.7. Транспорт и заселение</w:t>
      </w:r>
      <w:bookmarkEnd w:id="1095"/>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6" w:name="_Toc1096"/>
      <w:r>
        <w:rPr>
          <w:b/>
          <w:sz w:val="26"/>
        </w:rPr>
        <w:t>Б.8. Изготовление оболочки</w:t>
      </w:r>
      <w:bookmarkEnd w:id="1096"/>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7" w:name="_Toc1097"/>
      <w:r>
        <w:rPr>
          <w:b/>
          <w:sz w:val="26"/>
        </w:rPr>
        <w:t>Б.9. Сводка достоверности</w:t>
      </w:r>
      <w:bookmarkEnd w:id="1097"/>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8" w:name="_Toc1098"/>
      <w:r>
        <w:rPr>
          <w:b/>
          <w:sz w:val="26"/>
        </w:rPr>
        <w:t>Б.10. Противоречие по расчётной численности населения</w:t>
      </w:r>
      <w:bookmarkEnd w:id="1098"/>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9" w:name="_Toc1099"/>
      <w:r>
        <w:rPr>
          <w:b/>
          <w:sz w:val="26"/>
        </w:rPr>
        <w:t>Б.11. Глубина водоёмов и толщина грунта</w:t>
      </w:r>
      <w:bookmarkEnd w:id="1099"/>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1 308 МПа, и любое местное утонение равносильно созданию концентратора в оболочке, нагруженной центробежной силой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100" w:name="_Toc1100"/>
      <w:r>
        <w:rPr>
          <w:b/>
          <w:sz w:val="26"/>
        </w:rPr>
        <w:t>Б.12. Назначение арктической зоны и размещение теплиц</w:t>
      </w:r>
      <w:bookmarkEnd w:id="1100"/>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1" w:name="_Toc1101"/>
      <w:r>
        <w:rPr>
          <w:b/>
          <w:sz w:val="26"/>
        </w:rPr>
        <w:t>Б.13. Водный баланс: откуда 1,26 млрд т при глубине водоёмов 1,2 м</w:t>
      </w:r>
      <w:bookmarkEnd w:id="1101"/>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r>
              <w:t>Свет ОСБ 170 Вт/м²,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от ОСБ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0,58 % полной электрической мощности 721,4 ГВт.</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2" w:name="_Toc1102"/>
      <w:r>
        <w:rPr>
          <w:b/>
          <w:sz w:val="26"/>
        </w:rPr>
        <w:t>Б.14. Шпангоуты: шаг, сечение и исправление ошибки в тысячу раз</w:t>
      </w:r>
      <w:bookmarkEnd w:id="1102"/>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3" w:name="_Toc1103"/>
      <w:r>
        <w:rPr>
          <w:b/>
          <w:sz w:val="26"/>
        </w:rPr>
        <w:t>Б.15. Пересчёт глав 6 и 8 на расчётную численность 1 000 000 человек</w:t>
      </w:r>
      <w:bookmarkEnd w:id="1103"/>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r>
              <w:t>0,42 %</w:t>
            </w:r>
          </w:p>
        </w:tc>
        <w:tc>
          <w:tcPr>
            <w:tcW w:type="dxa" w:w="2422"/>
          </w:tcPr>
          <w:p>
            <w:r>
              <w:t>0,83 %</w:t>
            </w:r>
          </w:p>
        </w:tc>
        <w:tc>
          <w:tcPr>
            <w:tcW w:type="dxa" w:w="2422"/>
          </w:tcPr>
          <w:p>
            <w:r>
              <w:t>Пропорционально мощности</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резерв и потери 33 ГВт (4,57 %), жизнеобеспечение 20 ГВт (2,77 %), быт, транспорт и промышленность 6 ГВт (0,83 %). Прирост бытового потребления на 3 ГВт покрывается за счёт резерва, который сокращается с 36 до 33 ГВт; полная электрическая мощность составляет 721,4 ГВт, или 721 ГВт в округлённой таблице.</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4" w:name="_Toc1104"/>
      <w:r>
        <w:rPr>
          <w:b/>
          <w:sz w:val="26"/>
        </w:rPr>
        <w:t>Б.16. Массы пакета обшивки: следствие ошибки в площади торцов</w:t>
      </w:r>
      <w:bookmarkEnd w:id="1104"/>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и обе размещены в толще переднего торцевого купола, от входа в цилиндр. Прежняя схема с сорока шахтами, распределёнными по длине цилиндрической части, отменена.</w:t>
      </w:r>
    </w:p>
    <w:p>
      <w:r>
        <w:t>Основание решения геометрическое и эксплуатационное. Вход на станцию единствен: причал вынесен на неподвижную раму перед передним торцом, за ним расположен подшипниковый узел и карантинный контур (п. 9.1). Шахта, проложенная в цилиндрической части, начиналась бы в приосевом объёме, который признан непригодным для присутствия людей (п. 4.13.11), и требовала бы отдельного пути от причала вдоль оси. Шахта в переднем торце начинается непосредственно за подшипниковым узлом и ведёт прямо к жилой поверхности.</w:t>
      </w:r>
    </w:p>
    <w:p>
      <w:r>
        <w:t>Длина маршрута пересчитана по меридиану торца-сфероида с полуосями a = 5 000 и c = 4 500 м, от ступицы r = 150 м до обода r = 5 000 м. Длина меридиана составляет 7 316 м; с отклонением трассы по направлению вращения на 10° длина пути равна 7 429 м. Прежде указывалось 4 925 м — значение, отвечавшее прямому наклонному ходу, а не ходу по меридиану купола.</w:t>
      </w:r>
    </w:p>
    <w:p>
      <w:r>
        <w:t>Время поездки получено интегрированием закона постоянного наклона v(r) = ω·r·tg θ / 2 вдоль меридиана и составляет 17,8 минуты вместо прежних 15. Скорость у обода 19,5 м/с, у ступицы обращается в нуль, то есть торможение перед прибытием по-прежнему получается самопроизвольно.</w:t>
      </w:r>
    </w:p>
    <w:p>
      <w:r>
        <w:t>Пропускная способность. При кабине на 100 человек и двух парах кабин на шахту интервал отправления равен 17,8 минуты, что даёт 338 человек в час на шахту и 675 человек в час на цилиндр — против прежних 10 909 на сорока шахтах. Заселение 500 000 человек занимает около 31 суток вместо 1,9.</w:t>
      </w:r>
    </w:p>
    <w:p>
      <w:r>
        <w:t>Существенно, что это сокращение не является ограничением проекта. Как показано в п. 9.3, действительная скорость заселения определяется санитарным барьером: карантинный контур пропускает 100 000 человек в год при 10 951 месте изолятора, и заселение станции занимает десять лет. Транспорт с пропускной способностью 675 человек в час на цилиндр перекрывает эту потребность в 118 раз. Сорок шахт были избыточны.</w:t>
      </w:r>
    </w:p>
    <w:p>
      <w:r>
        <w:t>Сопутствующий выигрыш по массе. Устье шахты диаметром 30 м прерывает погонное усилие пояса и требует окантовки массой 27 386 т на вырез. Сокращение числа устьев с сорока до двух уменьшает массу окантовки с 1,42 до 0,38 млн т с учётом причальных и стыковых вырезов, то есть на 1,04 млн т. Одновременно уменьшается число мест концентрации напряжений в силовом поясе — сорок крупных вырезов в оболочке были самостоятельным фактором риска.</w:t>
      </w:r>
    </w:p>
    <w:p>
      <w:r>
        <w:t>Резервирование. Две шахты обеспечивают взаимное резервирование: при выводе одной на обслуживание вторая сохраняет сообщение с пропускной способностью 338 человек в час. Фуникулёр по склону торца сохраняется как независимый дублирующий маршрут (п. 4.7.6).</w:t>
      </w:r>
    </w:p>
    <w:p>
      <w:pPr>
        <w:keepNext/>
        <w:spacing w:after="200" w:before="400"/>
        <w:ind w:firstLine="0"/>
        <w:jc w:val="center"/>
        <w:outlineLvl w:val="0"/>
      </w:pPr>
      <w:bookmarkStart w:id="1105" w:name="_Toc1105"/>
      <w:r>
        <w:rPr>
          <w:b/>
          <w:sz w:val="30"/>
        </w:rPr>
        <w:t>11. ВОПРОСЫ, НЕ ОХВАЧЕННЫЕ ПРЕДЫДУЩИМИ РЕДАКЦИЯМИ</w:t>
      </w:r>
      <w:bookmarkEnd w:id="1105"/>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исключена. Освещение остаётся реакторным; зеркала и солнечный парус из проекта исключены.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6" w:name="_Toc1106"/>
      <w:r>
        <w:rPr>
          <w:b/>
          <w:sz w:val="26"/>
        </w:rPr>
        <w:t>11.1. Микрометеориты и космический мусор</w:t>
      </w:r>
      <w:bookmarkEnd w:id="1106"/>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Сквозное поражение силового пояса толщиной 850 мм требует частицы массой порядка 40 граммов; частота таких событий по всей площади станции — одно в семь лет. Однако силовой пояс не является внешним слоем: над ним расположены 1 000 мм радиационной защиты и 100 мм экранно-вакуумной изоляции, и суммарная преграда достигает 1 950 мм. Радиационная защита работает как экран Уиппла: частица разрушается в рыхлом реголите, и до силового пояса доходит расширенное облако обломков, неспособное к пробою. Отдельной противометеоритной защиты проект не требует — она получена как побочное свойство радиационной.</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7" w:name="_Toc1107"/>
      <w:r>
        <w:rPr>
          <w:b/>
          <w:sz w:val="26"/>
        </w:rPr>
        <w:t>11.2. Отходы и замыкание массового баланса</w:t>
      </w:r>
      <w:bookmarkEnd w:id="1107"/>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8" w:name="_Toc1108"/>
      <w:r>
        <w:rPr>
          <w:b/>
          <w:sz w:val="26"/>
        </w:rPr>
        <w:t>11.3. Умершие</w:t>
      </w:r>
      <w:bookmarkEnd w:id="1108"/>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9" w:name="_Toc1109"/>
      <w:r>
        <w:rPr>
          <w:b/>
          <w:sz w:val="26"/>
        </w:rPr>
        <w:t>11.4. Рождаемость и возрастная структура</w:t>
      </w:r>
      <w:bookmarkEnd w:id="1109"/>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10" w:name="_Toc1110"/>
      <w:r>
        <w:rPr>
          <w:b/>
          <w:sz w:val="26"/>
        </w:rPr>
        <w:t>11.5. Удержание станции в точке L1</w:t>
      </w:r>
      <w:bookmarkEnd w:id="1110"/>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1" w:name="_Toc1111"/>
      <w:r>
        <w:rPr>
          <w:b/>
          <w:sz w:val="26"/>
        </w:rPr>
        <w:t>11.6. Ориентация и прецессия</w:t>
      </w:r>
      <w:bookmarkEnd w:id="1111"/>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keepNext/>
        <w:spacing w:after="120" w:before="280"/>
        <w:ind w:firstLine="0"/>
        <w:jc w:val="center"/>
        <w:outlineLvl w:val="1"/>
      </w:pPr>
      <w:bookmarkStart w:id="1112" w:name="_Toc1112"/>
      <w:r>
        <w:rPr>
          <w:b/>
          <w:sz w:val="26"/>
        </w:rPr>
        <w:t>11.7. Балансировка вращающегося цилиндра</w:t>
      </w:r>
      <w:bookmarkEnd w:id="1112"/>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3" w:name="_Toc1113"/>
      <w:r>
        <w:rPr>
          <w:b/>
          <w:sz w:val="26"/>
        </w:rPr>
        <w:t>11.8. Замкнутый оборот воды</w:t>
      </w:r>
      <w:bookmarkEnd w:id="1113"/>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4" w:name="_Toc1114"/>
      <w:r>
        <w:rPr>
          <w:b/>
          <w:sz w:val="26"/>
        </w:rPr>
        <w:t>11.9. Стоимость и правовой статус</w:t>
      </w:r>
      <w:bookmarkEnd w:id="1114"/>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5" w:name="_Toc1115"/>
      <w:r>
        <w:rPr>
          <w:b/>
          <w:sz w:val="30"/>
        </w:rPr>
        <w:t>12. ВНУТРЕННЯЯ СРЕДА: ТРАНСПОРТ, УРБАНИСТИКА, ИНЖЕНЕРНЫЕ СЕТИ</w:t>
      </w:r>
      <w:bookmarkEnd w:id="1115"/>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6" w:name="_Toc1116"/>
      <w:r>
        <w:rPr>
          <w:b/>
          <w:sz w:val="26"/>
        </w:rPr>
        <w:t>12.1. Геометрия перемещений</w:t>
      </w:r>
      <w:bookmarkEnd w:id="1116"/>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7" w:name="_Toc1117"/>
      <w:r>
        <w:rPr>
          <w:b/>
          <w:sz w:val="26"/>
        </w:rPr>
        <w:t>12.2. Влияние вращения на движение: почему направления неравны</w:t>
      </w:r>
      <w:bookmarkEnd w:id="1117"/>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8" w:name="_Toc1118"/>
      <w:r>
        <w:rPr>
          <w:b/>
          <w:sz w:val="26"/>
        </w:rPr>
        <w:t>12.3. Схема пассажирского сообщения</w:t>
      </w:r>
      <w:bookmarkEnd w:id="1118"/>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9" w:name="_Toc1119"/>
      <w:r>
        <w:rPr>
          <w:b/>
          <w:sz w:val="26"/>
        </w:rPr>
        <w:t>12.4. Грузовое сообщение</w:t>
      </w:r>
      <w:bookmarkEnd w:id="1119"/>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наклонную шахту в торцевом куполе (п. 4.7.6, Б.17) и является единственным входом; внутренняя сеть примыкает к её нижнему устью пересадочным узлом.</w:t>
      </w:r>
    </w:p>
    <w:p>
      <w:pPr>
        <w:keepNext/>
        <w:spacing w:after="120" w:before="280"/>
        <w:ind w:firstLine="0"/>
        <w:jc w:val="center"/>
        <w:outlineLvl w:val="1"/>
      </w:pPr>
      <w:bookmarkStart w:id="1120" w:name="_Toc1120"/>
      <w:r>
        <w:rPr>
          <w:b/>
          <w:sz w:val="26"/>
        </w:rPr>
        <w:t>12.5. Урбанистика: деление обитаемой поверхности</w:t>
      </w:r>
      <w:bookmarkEnd w:id="1120"/>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двенадцать поселений по 40–45 тысяч жителей, размещённых в тёплых зонах I и II (п. 4.5) и связанных пересадочными узлами магистралей. Довод в пользу очагового расселения технический: сплошной город по всей поверхности потребовал бы сплошных же инженерных сетей, тогда как двенадцать компактных узлов обслуживаются кольцевыми сетями меньшей протяжённости. Довод бытовой не менее весом: житель любого поселения оказывается в пятнадцати минутах ходьбы от поля или леса.</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keepNext/>
        <w:spacing w:after="120" w:before="280"/>
        <w:ind w:firstLine="0"/>
        <w:jc w:val="center"/>
        <w:outlineLvl w:val="1"/>
      </w:pPr>
      <w:bookmarkStart w:id="1121" w:name="_Toc1121"/>
      <w:r>
        <w:rPr>
          <w:b/>
          <w:sz w:val="26"/>
        </w:rPr>
        <w:t>12.6. Водоснабжение и канализация</w:t>
      </w:r>
      <w:bookmarkEnd w:id="1121"/>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2" w:name="_Toc1122"/>
      <w:r>
        <w:rPr>
          <w:b/>
          <w:sz w:val="26"/>
        </w:rPr>
        <w:t>12.7. Электроснабжение внутри цилиндра</w:t>
      </w:r>
      <w:bookmarkEnd w:id="1122"/>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реакторной установки на неподвижной раме через подшипниковый узел скользящими контактами и далее по осевой балке. Распределение по обитаемой поверхности — на напряжении 220 кВ, что при мощности 3 ГВт на цилиндр даёт ток 8,3 кА и допускает кабельное исполнение. Понижающие подстанции размещаются в каждом из двенадцати поселений.</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3" w:name="_Toc1123"/>
      <w:r>
        <w:rPr>
          <w:b/>
          <w:sz w:val="26"/>
        </w:rPr>
        <w:t>12.8. Экология замкнутого объёма</w:t>
      </w:r>
      <w:bookmarkEnd w:id="1123"/>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4" w:name="_Toc1124"/>
      <w:r>
        <w:rPr>
          <w:b/>
          <w:sz w:val="30"/>
        </w:rPr>
        <w:t>13. ПРАВОВЫЕ ОСНОВЫ ПРОГРАММЫ</w:t>
      </w:r>
      <w:bookmarkEnd w:id="1124"/>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5" w:name="_Toc1125"/>
      <w:r>
        <w:rPr>
          <w:b/>
          <w:sz w:val="26"/>
        </w:rPr>
        <w:t>13.1. Что говорит действующее право</w:t>
      </w:r>
      <w:bookmarkEnd w:id="1125"/>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6" w:name="_Toc1126"/>
      <w:r>
        <w:rPr>
          <w:b/>
          <w:sz w:val="26"/>
        </w:rPr>
        <w:t>13.2. По каким законам живут внутри цилиндра</w:t>
      </w:r>
      <w:bookmarkEnd w:id="1126"/>
    </w:p>
    <w:p>
      <w:pPr>
        <w:spacing w:after="120"/>
        <w:ind w:firstLine="709"/>
        <w:jc w:val="both"/>
      </w:pPr>
      <w:r>
        <w:rPr>
          <w:sz w:val="24"/>
        </w:rPr>
        <w:t>Ответ прямой: по законам государства регистрации. Станция является космическим объектом, занесённым в регистр Российской Федерации, и на её борту действует российское право — Конституция, Гражданский, Уголовный, Трудовой кодексы. Прецедент отработан на Международной космической станции: каждый её модуль остаётся под юрисдикцией государства-владельца, и это не создаёт затруднений при совместной работе экипажей разных стран.</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7" w:name="_Toc1127"/>
      <w:r>
        <w:rPr>
          <w:b/>
          <w:sz w:val="26"/>
        </w:rPr>
        <w:t>13.3. Можно ли объявить станцию государством</w:t>
      </w:r>
      <w:bookmarkEnd w:id="1127"/>
    </w:p>
    <w:p>
      <w:pPr>
        <w:spacing w:after="120"/>
        <w:ind w:firstLine="709"/>
        <w:jc w:val="both"/>
      </w:pPr>
      <w:r>
        <w:rPr>
          <w:sz w:val="24"/>
        </w:rPr>
        <w:t>Ответ отрицательный, и он не зависит от желания учредителей. Согласно Конвенции Монтевидео 1933 года, отражающей обычную норму, государство обязано обладать постоянным населением, определённой территорией, правительством и способностью вступать в отношения с другими государствами. Второй признак — территория — для космической станции невыполним в принципе: статья II Договора о космосе запрещает присвоение любых участков космического пространства, а корпус станции территорией не является, он является имуществом.</w:t>
      </w:r>
    </w:p>
    <w:p>
      <w:pPr>
        <w:spacing w:after="120"/>
        <w:ind w:firstLine="709"/>
        <w:jc w:val="both"/>
      </w:pPr>
      <w:r>
        <w:rPr>
          <w:sz w:val="24"/>
        </w:rPr>
        <w:t>Попытка провозгласить суверенитет привела бы не к появлению нового государства, а к нарушению международного обязательства Российской Федерации, за которое отвечала бы сама Россия по статье VI Договора. Для проекта это означало бы прекращение поддержки и отзыв лицензии. Ни одно из существующих микрогосударственных образований, включая заявленные на морских платформах, признания не получило.</w:t>
      </w:r>
    </w:p>
    <w:p>
      <w:pPr>
        <w:spacing w:after="120"/>
        <w:ind w:firstLine="709"/>
        <w:jc w:val="both"/>
      </w:pPr>
      <w:r>
        <w:rPr>
          <w:sz w:val="24"/>
        </w:rPr>
        <w:t>Правильная форма — не государство, а международный консорциум с российской юрисдикцией регистрации, сопоставимый по устройству с МКС или с Международным агентством по атомной энергии. Такая форма даёт то, ради чего обычно предлагают государственность: устойчивое управление, собственный правопорядок в пределах регистра, право заключать договоры через государство-участника — и не влечёт международно-противоправного деяния.</w:t>
      </w:r>
    </w:p>
    <w:p>
      <w:pPr>
        <w:keepNext/>
        <w:spacing w:after="120" w:before="280"/>
        <w:ind w:firstLine="0"/>
        <w:jc w:val="center"/>
        <w:outlineLvl w:val="1"/>
      </w:pPr>
      <w:bookmarkStart w:id="1128" w:name="_Toc1128"/>
      <w:r>
        <w:rPr>
          <w:b/>
          <w:sz w:val="26"/>
        </w:rPr>
        <w:t>13.4. Космические ресурсы: как объявить их переработку</w:t>
      </w:r>
      <w:bookmarkEnd w:id="1128"/>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9" w:name="_Toc1129"/>
      <w:r>
        <w:rPr>
          <w:b/>
          <w:sz w:val="26"/>
        </w:rPr>
        <w:t>13.5. Правовое положение руководителя проекта</w:t>
      </w:r>
      <w:bookmarkEnd w:id="1129"/>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keepNext/>
        <w:spacing w:after="200" w:before="400"/>
        <w:ind w:firstLine="0"/>
        <w:jc w:val="center"/>
        <w:outlineLvl w:val="0"/>
      </w:pPr>
      <w:bookmarkStart w:id="1130" w:name="_Toc1130"/>
      <w:r>
        <w:rPr>
          <w:b/>
          <w:sz w:val="30"/>
        </w:rPr>
        <w:t>14. АВАРИЙНЫЕ РЕЖИМЫ, РЕСУРС КОНСТРУКЦИИ И ПОРЯДОК ПОСТРОЙКИ</w:t>
      </w:r>
      <w:bookmarkEnd w:id="1130"/>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1" w:name="_Toc1131"/>
      <w:r>
        <w:rPr>
          <w:b/>
          <w:sz w:val="26"/>
        </w:rPr>
        <w:t>14.1. Разгерметизация</w:t>
      </w:r>
      <w:bookmarkEnd w:id="1131"/>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2" w:name="_Toc1132"/>
      <w:r>
        <w:rPr>
          <w:b/>
          <w:sz w:val="26"/>
        </w:rPr>
        <w:t>14.2. Отказ энергоснабжения</w:t>
      </w:r>
      <w:bookmarkEnd w:id="1132"/>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3" w:name="_Toc1133"/>
      <w:r>
        <w:rPr>
          <w:b/>
          <w:sz w:val="26"/>
        </w:rPr>
        <w:t>14.3. Ресурс конструкции: коррозия и усталость</w:t>
      </w:r>
      <w:bookmarkEnd w:id="1133"/>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4" w:name="_Toc1134"/>
      <w:r>
        <w:rPr>
          <w:b/>
          <w:sz w:val="26"/>
        </w:rPr>
        <w:t>14.4. Вибрации и резонансы оболочки</w:t>
      </w:r>
      <w:bookmarkEnd w:id="1134"/>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5" w:name="_Toc1135"/>
      <w:r>
        <w:rPr>
          <w:b/>
          <w:sz w:val="26"/>
        </w:rPr>
        <w:t>14.5. Порядок постройки</w:t>
      </w:r>
      <w:bookmarkEnd w:id="1135"/>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6" w:name="_Toc1136"/>
      <w:r>
        <w:rPr>
          <w:b/>
          <w:sz w:val="26"/>
        </w:rPr>
        <w:t>14.6. Медицинское обеспечение</w:t>
      </w:r>
      <w:bookmarkEnd w:id="1136"/>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7" w:name="_Toc1137"/>
      <w:r>
        <w:rPr>
          <w:b/>
          <w:sz w:val="26"/>
        </w:rPr>
        <w:t>14.7. Резервирование установок замыкания углеродного цикла</w:t>
      </w:r>
      <w:bookmarkEnd w:id="1137"/>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8" w:name="_Toc1138"/>
      <w:r>
        <w:rPr>
          <w:b/>
          <w:sz w:val="30"/>
        </w:rPr>
        <w:t>15. ПОЧВЕННАЯ БИОТА, ПСИХОЛОГИЯ ЗАМКНУТОСТИ, ЭКОНОМИКА</w:t>
      </w:r>
      <w:bookmarkEnd w:id="1138"/>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9" w:name="_Toc1139"/>
      <w:r>
        <w:rPr>
          <w:b/>
          <w:sz w:val="26"/>
        </w:rPr>
        <w:t>15.1. Почвенная биота</w:t>
      </w:r>
      <w:bookmarkEnd w:id="1139"/>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40" w:name="_Toc1140"/>
      <w:r>
        <w:rPr>
          <w:b/>
          <w:sz w:val="26"/>
        </w:rPr>
        <w:t>15.2. Психология замкнутости</w:t>
      </w:r>
      <w:bookmarkEnd w:id="1140"/>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1" w:name="_Toc1141"/>
      <w:r>
        <w:rPr>
          <w:b/>
          <w:sz w:val="26"/>
        </w:rPr>
        <w:t>15.3. Экономика</w:t>
      </w:r>
      <w:bookmarkEnd w:id="1141"/>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2" w:name="_Toc1142"/>
      <w:r>
        <w:rPr>
          <w:b/>
          <w:sz w:val="30"/>
        </w:rPr>
        <w:t>16. КИСЛОРОДНЫЙ БАЛАНС ВО ВРЕМЕНИ: УРОК «БИОСФЕРЫ-2»</w:t>
      </w:r>
      <w:bookmarkEnd w:id="1142"/>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3" w:name="_Toc1143"/>
      <w:r>
        <w:rPr>
          <w:b/>
          <w:sz w:val="26"/>
        </w:rPr>
        <w:t>16.1. Что произошло в «Биосфере-2»</w:t>
      </w:r>
      <w:bookmarkEnd w:id="1143"/>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4" w:name="_Toc1144"/>
      <w:r>
        <w:rPr>
          <w:b/>
          <w:sz w:val="26"/>
        </w:rPr>
        <w:t>16.2. Применимость к станции: карбонизация исключена</w:t>
      </w:r>
      <w:bookmarkEnd w:id="1144"/>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5" w:name="_Toc1145"/>
      <w:r>
        <w:rPr>
          <w:b/>
          <w:sz w:val="26"/>
        </w:rPr>
        <w:t>16.3. Собственный аналог: окисление стали</w:t>
      </w:r>
      <w:bookmarkEnd w:id="1145"/>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двух цилиндров 3 100,2 км² при скорости коррозии 0,01 мм в год (п. 14.3), дала 104,6 млн т кислорода в год, то есть полное исчерпание примерно за 15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keepNext/>
        <w:spacing w:after="120" w:before="280"/>
        <w:ind w:firstLine="0"/>
        <w:jc w:val="center"/>
        <w:outlineLvl w:val="1"/>
      </w:pPr>
      <w:bookmarkStart w:id="1146" w:name="_Toc1146"/>
      <w:r>
        <w:rPr>
          <w:b/>
          <w:sz w:val="26"/>
        </w:rPr>
        <w:t>16.4. Результат: величина значима</w:t>
      </w:r>
      <w:bookmarkEnd w:id="1146"/>
    </w:p>
    <w:p>
      <w:pPr>
        <w:spacing w:after="120"/>
        <w:ind w:firstLine="709"/>
        <w:jc w:val="both"/>
      </w:pPr>
      <w:r>
        <w:rPr>
          <w:sz w:val="24"/>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keepNext/>
        <w:spacing w:after="120" w:before="280"/>
        <w:ind w:firstLine="0"/>
        <w:jc w:val="center"/>
        <w:outlineLvl w:val="1"/>
      </w:pPr>
      <w:bookmarkStart w:id="1147" w:name="_Toc1147"/>
      <w:r>
        <w:rPr>
          <w:b/>
          <w:sz w:val="26"/>
        </w:rPr>
        <w:t>16.5. Компенсация</w:t>
      </w:r>
      <w:bookmarkEnd w:id="1147"/>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spacing w:after="120"/>
        <w:ind w:firstLine="709"/>
        <w:jc w:val="both"/>
      </w:pPr>
      <w:r>
        <w:rPr>
          <w:sz w:val="24"/>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8" w:name="_Toc1148"/>
      <w:r>
        <w:rPr>
          <w:b/>
          <w:sz w:val="26"/>
        </w:rPr>
        <w:t>16.6. Действующий перечень нерешённого</w:t>
      </w:r>
      <w:bookmarkEnd w:id="1148"/>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от которой зависит доля открытого металла и, следовательно, точность расчёта п. 16.3.</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Настоящий перечень подлежит пересмотру в каждой последующей редакции; закрытые пункты сохраняются с указанием места решения, как это сделано в п. 6.7.</w:t>
      </w:r>
    </w:p>
    <w:p>
      <w:pPr>
        <w:keepNext/>
        <w:spacing w:after="200" w:before="400"/>
        <w:ind w:firstLine="0"/>
        <w:jc w:val="center"/>
        <w:outlineLvl w:val="0"/>
      </w:pPr>
      <w:bookmarkStart w:id="1149" w:name="_Toc1149"/>
      <w:r>
        <w:rPr>
          <w:b/>
          <w:sz w:val="30"/>
        </w:rPr>
        <w:t>ПРИЛОЖЕНИЕ В. АЛЬБОМ ЧЕРТЕЖЕЙ</w:t>
      </w:r>
      <w:bookmarkEnd w:id="1149"/>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rPr>
                <w:b/>
              </w:rPr>
              <w:t>Стало (2 шахты)</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675 чел./ч</w:t>
            </w:r>
          </w:p>
        </w:tc>
      </w:tr>
      <w:tr>
        <w:tc>
          <w:tcPr>
            <w:tcW w:type="dxa" w:w="3230"/>
          </w:tcPr>
          <w:p>
            <w:r>
              <w:t>Заселение 500 000 человек</w:t>
            </w:r>
          </w:p>
        </w:tc>
        <w:tc>
          <w:tcPr>
            <w:tcW w:type="dxa" w:w="3230"/>
          </w:tcPr>
          <w:p>
            <w:r>
              <w:t>1,9 сут</w:t>
            </w:r>
          </w:p>
        </w:tc>
        <w:tc>
          <w:tcPr>
            <w:tcW w:type="dxa" w:w="3230"/>
          </w:tcPr>
          <w:p>
            <w:r>
              <w:t>31 сут</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w:t>
            </w:r>
          </w:p>
        </w:tc>
      </w:tr>
      <w:tr>
        <w:tc>
          <w:tcPr>
            <w:tcW w:type="dxa" w:w="3230"/>
          </w:tcPr>
          <w:p>
            <w:r>
              <w:t>Масса окантовки вырезов</w:t>
            </w:r>
          </w:p>
        </w:tc>
        <w:tc>
          <w:tcPr>
            <w:tcW w:type="dxa" w:w="3230"/>
          </w:tcPr>
          <w:p>
            <w:r>
              <w:t>1,42 млн т</w:t>
            </w:r>
          </w:p>
        </w:tc>
        <w:tc>
          <w:tcPr>
            <w:tcW w:type="dxa" w:w="3230"/>
          </w:tcPr>
          <w:p>
            <w:r>
              <w:t>0,38 млн т</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50" w:name="_Toc1150"/>
      <w:r>
        <w:rPr>
          <w:b/>
          <w:sz w:val="30"/>
        </w:rPr>
        <w:t>ПРИЛОЖЕНИЕ Г. ПЕРЕЧЕНЬ СОКРАЩЕНИЙ И ОБОЗНАЧЕНИЙ</w:t>
      </w:r>
      <w:bookmarkEnd w:id="1150"/>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1" w:name="_Toc1151"/>
      <w:r>
        <w:rPr>
          <w:b/>
          <w:sz w:val="30"/>
        </w:rPr>
        <w:t>ПРИЛОЖЕНИЕ Д. ИСТОЧНИКИ</w:t>
      </w:r>
      <w:bookmarkEnd w:id="1151"/>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