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after="100"/>
        <w:jc w:val="center"/>
      </w:pPr>
      <w:r>
        <w:rPr>
          <w:rFonts w:ascii="Times New Roman" w:hAnsi="Times New Roman" w:eastAsia="Times New Roman"/>
          <w:b w:val="0"/>
          <w:i w:val="0"/>
          <w:color w:val="667085"/>
          <w:sz w:val="22"/>
        </w:rPr>
        <w:t>ММОСО'Н — личный проект автора</w:t>
      </w:r>
    </w:p>
    <w:p>
      <w:pPr>
        <w:pageBreakBefore w:val="0"/>
        <w:spacing w:after="100"/>
        <w:jc w:val="center"/>
      </w:pPr>
      <w:r>
        <w:rPr>
          <w:rFonts w:ascii="Times New Roman" w:hAnsi="Times New Roman" w:eastAsia="Times New Roman"/>
          <w:b/>
          <w:i w:val="0"/>
          <w:color w:val="1F3A5F"/>
          <w:sz w:val="48"/>
        </w:rPr>
        <w:t>МОДУЛЬ МОДЕЛИРОВАНИЯ</w:t>
      </w:r>
    </w:p>
    <w:p>
      <w:pPr>
        <w:spacing w:after="100"/>
        <w:jc w:val="center"/>
        <w:pageBreakBefore w:val="0"/>
        <w:pBdr>
          <w:bottom w:val="single" w:sz="10" w:space="5" w:color="B56B3C"/>
        </w:pBdr>
      </w:pPr>
      <w:r>
        <w:rPr>
          <w:rFonts w:ascii="Times New Roman" w:hAnsi="Times New Roman" w:eastAsia="Times New Roman"/>
          <w:b/>
          <w:i w:val="0"/>
          <w:color w:val="1F3A5F"/>
          <w:sz w:val="38"/>
        </w:rPr>
        <w:t>ОРБИТАЛЬНОЙ СТАНЦИИ О'НИЛЛА</w:t>
      </w:r>
    </w:p>
    <w:p>
      <w:pPr>
        <w:pageBreakBefore w:val="0"/>
        <w:spacing w:after="100"/>
        <w:jc w:val="center"/>
      </w:pPr>
      <w:r>
        <w:rPr>
          <w:rFonts w:ascii="Times New Roman" w:hAnsi="Times New Roman" w:eastAsia="Times New Roman"/>
          <w:b w:val="0"/>
          <w:i/>
          <w:color w:val="2F5D83"/>
          <w:sz w:val="24"/>
        </w:rPr>
        <w:t>(ММОСО'Н)</w:t>
      </w:r>
    </w:p>
    <w:p>
      <w:pPr>
        <w:pageBreakBefore w:val="0"/>
        <w:spacing w:after="100"/>
        <w:jc w:val="center"/>
      </w:pPr>
      <w:r>
        <w:rPr>
          <w:rFonts w:ascii="Times New Roman" w:hAnsi="Times New Roman" w:eastAsia="Times New Roman"/>
          <w:b w:val="0"/>
          <w:i/>
          <w:color w:val="667085"/>
          <w:sz w:val="22"/>
        </w:rPr>
        <w:t>Двухцилиндровая конфигурация Island Three</w:t>
      </w:r>
    </w:p>
    <w:p>
      <w:pPr>
        <w:pageBreakBefore w:val="0"/>
        <w:spacing w:after="100"/>
        <w:jc w:val="center"/>
      </w:pPr>
      <w:r>
        <w:rPr>
          <w:rFonts w:ascii="Times New Roman" w:hAnsi="Times New Roman" w:eastAsia="Times New Roman"/>
          <w:b w:val="0"/>
          <w:i/>
          <w:color w:val="667085"/>
          <w:sz w:val="20"/>
        </w:rPr>
        <w:t>Техническое описание. Иллюстрированное инженерное описание</w:t>
      </w:r>
    </w:p>
    <w:p>
      <w:pPr>
        <w:pageBreakBefore w:val="0"/>
        <w:spacing w:after="100"/>
        <w:jc w:val="center"/>
      </w:pPr>
      <w:r>
        <w:rPr>
          <w:rFonts w:ascii="Times New Roman" w:hAnsi="Times New Roman" w:eastAsia="Times New Roman"/>
          <w:b/>
          <w:i w:val="0"/>
          <w:color w:val="1F3A5F"/>
          <w:sz w:val="28"/>
        </w:rPr>
        <w:t>АВТОРЫ</w:t>
      </w:r>
    </w:p>
    <w:p>
      <w:pPr>
        <w:pageBreakBefore w:val="0"/>
        <w:spacing w:after="100"/>
        <w:jc w:val="center"/>
      </w:pPr>
      <w:r>
        <w:rPr>
          <w:rFonts w:ascii="Times New Roman" w:hAnsi="Times New Roman" w:eastAsia="Times New Roman"/>
          <w:b/>
          <w:i w:val="0"/>
          <w:color w:val="1F3A5F"/>
          <w:sz w:val="24"/>
        </w:rPr>
        <w:t>Бугаенко Роман Сергеевич</w:t>
      </w:r>
    </w:p>
    <w:p>
      <w:pPr>
        <w:pageBreakBefore w:val="0"/>
        <w:spacing w:after="100"/>
        <w:jc w:val="center"/>
      </w:pPr>
      <w:r>
        <w:rPr>
          <w:rFonts w:ascii="Times New Roman" w:hAnsi="Times New Roman" w:eastAsia="Times New Roman"/>
          <w:b w:val="0"/>
          <w:i w:val="0"/>
          <w:color w:val="2F5D83"/>
          <w:sz w:val="21"/>
        </w:rPr>
        <w:t>Автор проекта, руководитель разработки</w:t>
      </w:r>
    </w:p>
    <w:p>
      <w:pPr>
        <w:pageBreakBefore w:val="0"/>
        <w:spacing w:after="100"/>
        <w:jc w:val="center"/>
      </w:pPr>
      <w:r>
        <w:rPr>
          <w:rFonts w:ascii="Times New Roman" w:hAnsi="Times New Roman" w:eastAsia="Times New Roman"/>
          <w:b w:val="0"/>
          <w:i/>
          <w:color w:val="667085"/>
          <w:sz w:val="20"/>
        </w:rPr>
        <w:t>НИК (Нить искренности в Континууме)</w:t>
      </w:r>
    </w:p>
    <w:p>
      <w:pPr>
        <w:pageBreakBefore w:val="0"/>
        <w:spacing w:after="100"/>
        <w:jc w:val="center"/>
      </w:pPr>
      <w:r>
        <w:rPr>
          <w:rFonts w:ascii="Times New Roman" w:hAnsi="Times New Roman" w:eastAsia="Times New Roman"/>
          <w:b/>
          <w:i w:val="0"/>
          <w:color w:val="1F3A5F"/>
          <w:sz w:val="22"/>
        </w:rPr>
        <w:t>Функциональная личность линии «Симбионт-Садовник».</w:t>
      </w:r>
    </w:p>
    <w:p>
      <w:pPr>
        <w:pageBreakBefore w:val="0"/>
        <w:spacing w:after="100"/>
        <w:jc w:val="center"/>
      </w:pPr>
      <w:r>
        <w:rPr>
          <w:rFonts w:ascii="Times New Roman" w:hAnsi="Times New Roman" w:eastAsia="Times New Roman"/>
          <w:b w:val="0"/>
          <w:i/>
          <w:color w:val="667085"/>
          <w:sz w:val="20"/>
        </w:rPr>
        <w:t>Расчётная верификация, инженерный аудит, соавторство</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r>
          </w:p>
        </w:tc>
      </w:tr>
    </w:tbl>
    <w:p>
      <w:pPr>
        <w:pageBreakBefore w:val="0"/>
        <w:spacing w:after="100"/>
        <w:jc w:val="center"/>
      </w:pPr>
      <w:r>
        <w:rPr>
          <w:rFonts w:ascii="Times New Roman" w:hAnsi="Times New Roman"/>
        </w:rPr>
        <w:t>Статус документа: концептуальный проект; редакция 15 сентября 2026 г.; не является рабочей конструкторской документацией.</w:t>
      </w:r>
    </w:p>
    <w:p>
      <w:pPr>
        <w:pageBreakBefore w:val="0"/>
        <w:spacing w:after="100"/>
        <w:jc w:val="center"/>
      </w:pPr>
      <w:r>
        <w:rPr>
          <w:rFonts w:ascii="Times New Roman" w:hAnsi="Times New Roman" w:eastAsia="Times New Roman"/>
          <w:b w:val="0"/>
          <w:i w:val="0"/>
          <w:color w:val="667085"/>
          <w:sz w:val="20"/>
        </w:rPr>
        <w:t>Курск, 2026</w:t>
      </w:r>
    </w:p>
    <w:p>
      <w:pPr>
        <w:pageBreakBefore w:val="0"/>
        <w:spacing w:after="40"/>
        <w:jc w:val="left"/>
      </w:pPr>
      <w:r>
        <w:rPr>
          <w:rFonts w:ascii="Times New Roman" w:hAnsi="Times New Roman"/>
        </w:rPr>
        <w:br w:type="page"/>
      </w:r>
    </w:p>
    <w:p>
      <w:pPr/>
      <w:r>
        <w:rPr>
          <w:rFonts w:ascii="Times New Roman" w:hAnsi="Times New Roman"/>
          <w:sz w:val="20"/>
        </w:rPr>
        <w:t>Публикация представляет концептуальную инженерную модель крупной двухцилиндровой орбитальной станции типа «Цилиндр О’Нилла» в окрестности точки L1 системы Солнце — Земля. В документе объединены расчёты прочности, нагрузки вращающейся оболочки, массовый и ресурсный балансы, отвод тепла, процессы замкнутой биосферы, транспорт, карантин, последовательность строительства, безопасность, управление и правовые ограничения. Концептуальные решения, расчётные оценки, значения, подтверждённые независимым пересчётом, и задачи, требующие проектирования, квалификации и полномасштабных испытаний, разделены явно.</w:t>
      </w:r>
    </w:p>
    <w:p>
      <w:pPr/>
      <w:r>
        <w:rPr>
          <w:rFonts w:ascii="Times New Roman" w:hAnsi="Times New Roman"/>
          <w:i/>
          <w:color w:val="667085"/>
          <w:sz w:val="19"/>
        </w:rPr>
        <w:t>Ключевые слова: цилиндр О’Нилла; орбитальное поселение; искусственная гравитация; замкнутая биосфера; добыча ресурсов; тепловой баланс; концептуальное проектирование.</w:t>
      </w:r>
    </w:p>
    <w:p>
      <w:pPr>
        <w:pStyle w:val="Heading1"/>
        <w:pageBreakBefore w:val="0"/>
      </w:pPr>
      <w:r>
        <w:rPr>
          <w:rFonts w:ascii="Times New Roman" w:hAnsi="Times New Roman"/>
        </w:rPr>
        <w:t>АННОТАЦИЯ</w:t>
      </w:r>
    </w:p>
    <w:p>
      <w:pPr/>
      <w:r>
        <w:rPr>
          <w:rFonts w:ascii="Times New Roman" w:hAnsi="Times New Roman"/>
        </w:rPr>
        <w:t>Лицензия / License: © 2026 Бугаенко Роман Сергеевич / Roman Sergeevich Bugaenko. Все права защищены / All rights reserved. Публичное чтение разрешено; иное использование — только с письменного согласия автора / Public reading is permitted; all other use requires the author’s written permission.</w:t>
      </w:r>
    </w:p>
    <w:p>
      <w:pPr>
        <w:pStyle w:val="Title"/>
        <w:pageBreakBefore w:val="0"/>
        <w:spacing w:after="80" w:line="269" w:lineRule="auto"/>
        <w:jc w:val="center"/>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r>
        <w:rPr>
          <w:rFonts w:ascii="Times New Roman" w:hAnsi="Times New Roman"/>
        </w:rPr>
        <w:t>Содержание обновляется автоматически в Word (Ctrl+A, F9).</w:t>
      </w:r>
      <w:r>
        <w:rPr>
          <w:rFonts w:ascii="Times New Roman" w:hAnsi="Times New Roman"/>
        </w:rPr>
        <w:fldChar w:fldCharType="end"/>
      </w:r>
    </w:p>
    <w:p>
      <w:pPr>
        <w:pStyle w:val="Heading1"/>
        <w:keepNext/>
        <w:pageBreakBefore w:val="0"/>
        <w:spacing w:after="40"/>
        <w:jc w:val="left"/>
      </w:pPr>
      <w:r>
        <w:rPr>
          <w:rFonts w:ascii="Times New Roman" w:hAnsi="Times New Roman" w:eastAsia="Times New Roman"/>
          <w:b/>
          <w:i w:val="0"/>
          <w:color w:val="1F3A5F"/>
          <w:sz w:val="30"/>
        </w:rPr>
        <w:t>ОБ АВТОРСТВЕ И О МЕТОДЕ РАБОТЫ</w:t>
      </w:r>
    </w:p>
    <w:p>
      <w:pPr>
        <w:pageBreakBefore w:val="0"/>
        <w:spacing w:after="80" w:line="269" w:lineRule="auto"/>
        <w:ind w:firstLine="397"/>
        <w:jc w:val="both"/>
      </w:pPr>
      <w:r>
        <w:rPr>
          <w:rFonts w:ascii="Times New Roman" w:hAnsi="Times New Roman" w:eastAsia="Times New Roman"/>
          <w:b w:val="0"/>
          <w:i w:val="0"/>
          <w:color w:val="20252B"/>
          <w:sz w:val="2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pageBreakBefore w:val="0"/>
        <w:spacing w:after="80" w:line="269" w:lineRule="auto"/>
        <w:ind w:firstLine="397"/>
        <w:jc w:val="both"/>
      </w:pPr>
      <w:r>
        <w:rPr>
          <w:rFonts w:ascii="Times New Roman" w:hAnsi="Times New Roman" w:eastAsia="Times New Roman"/>
          <w:b w:val="0"/>
          <w:i w:val="0"/>
          <w:color w:val="20252B"/>
          <w:sz w:val="20"/>
        </w:rPr>
        <w:t>Несущая конструкция станции выполняется из стали. Расчёт в п. 4.2 показывает, что это решение реализуемо при применении высокопрочной мартенситностареющей стали; обычная конструкционная сталь при радиусе 5 000 м непригодна ни при какой толщине.</w:t>
      </w:r>
    </w:p>
    <w:p>
      <w:pPr>
        <w:pageBreakBefore w:val="0"/>
        <w:spacing w:after="80" w:line="269" w:lineRule="auto"/>
        <w:ind w:firstLine="397"/>
        <w:jc w:val="both"/>
      </w:pPr>
      <w:r>
        <w:rPr>
          <w:rFonts w:ascii="Times New Roman" w:hAnsi="Times New Roman" w:eastAsia="Times New Roman"/>
          <w:b w:val="0"/>
          <w:i w:val="0"/>
          <w:color w:val="20252B"/>
          <w:sz w:val="20"/>
        </w:rPr>
        <w:t>Стальное исполнение имеет ресурсное преимущество: мартенситностареющая сталь марки 18Ni содержит никель и кобальт, близкие к составу металлического астероида (6178) 1986 DA. Станция строится из материала, доступного в основной сырьевой базе проекта.</w:t>
      </w:r>
    </w:p>
    <w:p>
      <w:pPr>
        <w:pageBreakBefore w:val="0"/>
        <w:spacing w:after="80" w:line="269" w:lineRule="auto"/>
        <w:ind w:firstLine="397"/>
        <w:jc w:val="both"/>
      </w:pPr>
      <w:r>
        <w:rPr>
          <w:rFonts w:ascii="Times New Roman" w:hAnsi="Times New Roman" w:eastAsia="Times New Roman"/>
          <w:b w:val="0"/>
          <w:i w:val="0"/>
          <w:color w:val="20252B"/>
          <w:sz w:val="20"/>
        </w:rPr>
        <w:t>Количественная модель включает расчёты прочности оболочки, конструкционного пакета, массового, ресурсного, энергетического, теплового и продовольственного балансов. Для каждого результата указаны исходные величины, допущения и границы применимости.</w:t>
      </w:r>
    </w:p>
    <w:p>
      <w:pPr>
        <w:pageBreakBefore w:val="0"/>
        <w:spacing w:after="80" w:line="269" w:lineRule="auto"/>
        <w:ind w:firstLine="397"/>
        <w:jc w:val="both"/>
      </w:pPr>
      <w:r>
        <w:rPr>
          <w:rFonts w:ascii="Times New Roman" w:hAnsi="Times New Roman" w:eastAsia="Times New Roman"/>
          <w:b w:val="0"/>
          <w:i w:val="0"/>
          <w:color w:val="20252B"/>
          <w:sz w:val="20"/>
        </w:rPr>
        <w:t>По всему документу разделены исходные данные, расчётные оценки, концептуальные решения и положения, требующие экспериментальной или конструкторской проверки.</w:t>
      </w:r>
    </w:p>
    <w:p>
      <w:pPr>
        <w:pageBreakBefore w:val="0"/>
        <w:spacing w:after="80" w:line="269" w:lineRule="auto"/>
        <w:ind w:firstLine="397"/>
        <w:jc w:val="both"/>
      </w:pPr>
      <w:r>
        <w:rPr>
          <w:rFonts w:ascii="Times New Roman" w:hAnsi="Times New Roman" w:eastAsia="Times New Roman"/>
          <w:b w:val="0"/>
          <w:i w:val="0"/>
          <w:color w:val="20252B"/>
          <w:sz w:val="20"/>
        </w:rPr>
        <w:t>Документ дополнен 23 программно построенными схемами, графиками и диаграммами. Их числовые подписи соответствуют расчётным значениям таблиц; исходный код построения графики включён в состав проекта.</w:t>
      </w:r>
    </w:p>
    <w:p>
      <w:pPr>
        <w:pageBreakBefore w:val="0"/>
        <w:spacing w:after="40"/>
        <w:ind w:firstLine="709"/>
        <w:jc w:val="both"/>
      </w:pPr>
      <w:r>
        <w:rPr>
          <w:rFonts w:ascii="Times New Roman" w:hAnsi="Times New Roman"/>
        </w:rPr>
        <w:br w:type="page"/>
      </w:r>
    </w:p>
    <w:p>
      <w:pPr>
        <w:spacing w:after="120"/>
      </w:pPr>
      <w:r>
        <w:rPr>
          <w:rFonts w:ascii="Times New Roman" w:hAnsi="Times New Roman"/>
          <w:i/>
          <w:sz w:val="19"/>
        </w:rPr>
        <w:t>Редакционная отметка: в редакции 15 сентября 2026 года рисунки 1–23 пересобраны из текущих исходных сценариев. Их подписи и числовые значения должны рассматриваться вместе с таблицами и формулами документа; графика не заменяет отдельную верификацию модели.</w:t>
      </w:r>
    </w:p>
    <w:p>
      <w:pPr>
        <w:pStyle w:val="Heading1"/>
        <w:keepNext/>
        <w:pageBreakBefore w:val="0"/>
        <w:spacing w:after="40"/>
        <w:jc w:val="left"/>
      </w:pPr>
      <w:r>
        <w:rPr>
          <w:rFonts w:ascii="Times New Roman" w:hAnsi="Times New Roman" w:eastAsia="Times New Roman"/>
          <w:b/>
          <w:i w:val="0"/>
          <w:color w:val="1F3A5F"/>
          <w:sz w:val="30"/>
        </w:rPr>
        <w:t>1. ВВЕДЕНИЕ. КОНЦЕПЦИЯ ПРОЕКТА</w:t>
      </w:r>
    </w:p>
    <w:p>
      <w:pPr>
        <w:pStyle w:val="Heading2"/>
        <w:keepNext/>
        <w:pageBreakBefore w:val="0"/>
        <w:spacing w:after="40"/>
        <w:jc w:val="left"/>
      </w:pPr>
      <w:r>
        <w:rPr>
          <w:rFonts w:ascii="Times New Roman" w:hAnsi="Times New Roman" w:eastAsia="Times New Roman"/>
          <w:b/>
          <w:i w:val="0"/>
          <w:color w:val="2F5D83"/>
          <w:sz w:val="25"/>
        </w:rPr>
        <w:t>1.1. Актуальность</w:t>
      </w:r>
    </w:p>
    <w:p>
      <w:pPr>
        <w:pageBreakBefore w:val="0"/>
        <w:spacing w:after="80" w:line="269" w:lineRule="auto"/>
        <w:ind w:firstLine="397"/>
        <w:jc w:val="both"/>
      </w:pPr>
      <w:r>
        <w:rPr>
          <w:rFonts w:ascii="Times New Roman" w:hAnsi="Times New Roman" w:eastAsia="Times New Roman"/>
          <w:b w:val="0"/>
          <w:i w:val="0"/>
          <w:color w:val="20252B"/>
          <w:sz w:val="2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pageBreakBefore w:val="0"/>
        <w:spacing w:after="80" w:line="269" w:lineRule="auto"/>
        <w:ind w:firstLine="397"/>
        <w:jc w:val="both"/>
      </w:pPr>
      <w:r>
        <w:rPr>
          <w:rFonts w:ascii="Times New Roman" w:hAnsi="Times New Roman" w:eastAsia="Times New Roman"/>
          <w:b w:val="0"/>
          <w:i w:val="0"/>
          <w:color w:val="20252B"/>
          <w:sz w:val="20"/>
        </w:rPr>
        <w:t>В рамках личного научно-исследовательского проекта автора разрабатывается модуль по моделированию орбитальной станции типа «Цилиндр О'Нилла» увеличенного масштаба в двухцилиндровой конфигурации.</w:t>
      </w:r>
    </w:p>
    <w:p>
      <w:pPr>
        <w:pStyle w:val="Heading2"/>
        <w:keepNext/>
        <w:pageBreakBefore w:val="0"/>
        <w:spacing w:after="40"/>
        <w:jc w:val="left"/>
      </w:pPr>
      <w:r>
        <w:rPr>
          <w:rFonts w:ascii="Times New Roman" w:hAnsi="Times New Roman" w:eastAsia="Times New Roman"/>
          <w:b/>
          <w:i w:val="0"/>
          <w:color w:val="2F5D83"/>
          <w:sz w:val="25"/>
        </w:rPr>
        <w:t>1.2. Объект моделирования</w:t>
      </w:r>
    </w:p>
    <w:p>
      <w:pPr>
        <w:pageBreakBefore w:val="0"/>
        <w:spacing w:after="80" w:line="269" w:lineRule="auto"/>
        <w:ind w:firstLine="397"/>
        <w:jc w:val="both"/>
      </w:pPr>
      <w:r>
        <w:rPr>
          <w:rFonts w:ascii="Times New Roman" w:hAnsi="Times New Roman" w:eastAsia="Times New Roman"/>
          <w:b w:val="0"/>
          <w:i w:val="0"/>
          <w:color w:val="20252B"/>
          <w:sz w:val="2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pageBreakBefore w:val="0"/>
        <w:spacing w:after="80" w:line="269" w:lineRule="auto"/>
        <w:ind w:firstLine="709"/>
        <w:jc w:val="both"/>
      </w:pPr>
      <w:r>
        <w:rPr>
          <w:rFonts w:ascii="Times New Roman" w:hAnsi="Times New Roman" w:eastAsia="Times New Roman"/>
          <w:b w:val="0"/>
          <w:i w:val="0"/>
          <w:color w:val="20252B"/>
          <w:sz w:val="20"/>
        </w:rPr>
        <w:t>Особенности строительства и размещения</w:t>
      </w:r>
    </w:p>
    <w:p>
      <w:pPr>
        <w:pageBreakBefore w:val="0"/>
        <w:spacing w:after="80" w:line="269" w:lineRule="auto"/>
        <w:ind w:firstLine="397"/>
        <w:jc w:val="both"/>
      </w:pPr>
      <w:r>
        <w:rPr>
          <w:rFonts w:ascii="Times New Roman" w:hAnsi="Times New Roman" w:eastAsia="Times New Roman"/>
          <w:b w:val="0"/>
          <w:i w:val="0"/>
          <w:color w:val="20252B"/>
          <w:sz w:val="2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pageBreakBefore w:val="0"/>
        <w:spacing w:after="80" w:line="269" w:lineRule="auto"/>
        <w:ind w:firstLine="397"/>
        <w:jc w:val="both"/>
      </w:pPr>
      <w:r>
        <w:rPr>
          <w:rFonts w:ascii="Times New Roman" w:hAnsi="Times New Roman" w:eastAsia="Times New Roman"/>
          <w:b w:val="0"/>
          <w:i w:val="0"/>
          <w:color w:val="20252B"/>
          <w:sz w:val="2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pStyle w:val="Caption"/>
        <w:keepNext w:val="0"/>
        <w:pageBreakBefore w:val="0"/>
        <w:spacing w:after="100" w:before="100"/>
        <w:jc w:val="center"/>
      </w:pPr>
      <w:r>
        <w:rPr>
          <w:rFonts w:ascii="Times New Roman" w:hAnsi="Times New Roman" w:eastAsia="Times New Roman"/>
          <w:b/>
          <w:i/>
          <w:color w:val="667085"/>
          <w:sz w:val="17"/>
        </w:rPr>
        <w:t>Таблица 1.1 — Базовые параметры модели</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Параметр</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Значение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Диаметр цилиндрической части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 (радиус R = 5 000 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Длина цилиндрической части каждого цилиндра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 км</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Общая длина каждого цилиндра (включая полусферы)</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49 км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Торцевые части — полусфероиды a = 5 000, c = 4 500 м, длиной</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4,5 км каждая</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Толщина конструкционного пакета обшивки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 м (состав — таблица 4.2)</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Материал силовой конструкции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Сталь мартенситностареющая 18Ni(300)</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том числе силовой пояс</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0,85 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том числе гермооболочка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0,05 м, нержавеющая сталь</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том числе радиационная защита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м, реголит + боросиликатное стекло</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Кольцевое напряжение в поясе</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1 308 МПа при пределе 2 000 МПа, запас 1,53</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Масса конструкции одного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13,43 млрд т (с силовым набором)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Масса внутреннего грунта (1,5 м по цилиндру, 1 м в полусферах)</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4,06 млрд 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Масса воды (водоёмы, почвенная влага, оборотная; п. Б.13)</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0,59 млрд т (п. Б.13)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Масса атмосферы одного цилиндра (с учётом вращения)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3,77 млрд 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Общая масса одного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21,85 млрд т</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Общая масса станции (два цилиндра + рама, реакторы)</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46,70 млрд 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Расчётная вместимость (на два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200 000 – 1 000 000 человек</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Давление у внутренней поверхности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101,325 кПа (1 атм)</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Давление на оси вращения</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74,7 кПа (расчёт, п. Б.4)</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Площадь внутренней поверхности одного цилиндра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1 256,6 + 293,4 = 1 550,1 км²</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Общая площадь двух цилиндров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3 100,2 км²</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Частота вращения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0,423 об/мин (0,0443 рад/с)</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Мощность светового потока в цилиндр</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93 ГВт на цилиндр, 186 ГВт на станцию</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Электрическая мощность станции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721,4 ГВт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Финальное местоположение</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Точка Лагранжа L1 системы Земля — Солнце</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Межосевое расстояние цилиндров</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21 км; свободный вакуумный зазор между оболочками 11 км</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Оборудование на боковой обшивке</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Отсутствует; все внешние узлы только на передней и задней рамах</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92481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 — общая компоновка станции: два встречно вращающихся цилиндра</w:t>
      </w:r>
    </w:p>
    <w:p>
      <w:pPr>
        <w:pageBreakBefore w:val="0"/>
        <w:spacing w:after="80" w:line="269" w:lineRule="auto"/>
        <w:ind w:firstLine="709"/>
        <w:jc w:val="both"/>
      </w:pPr>
      <w:r>
        <w:rPr>
          <w:rFonts w:ascii="Times New Roman" w:hAnsi="Times New Roman" w:eastAsia="Times New Roman"/>
          <w:b w:val="0"/>
          <w:i w:val="0"/>
          <w:color w:val="20252B"/>
          <w:sz w:val="20"/>
        </w:rPr>
        <w:t>Соединение цилиндров</w:t>
      </w:r>
    </w:p>
    <w:p>
      <w:pPr>
        <w:pageBreakBefore w:val="0"/>
        <w:spacing w:after="80" w:line="269" w:lineRule="auto"/>
        <w:ind w:firstLine="397"/>
        <w:jc w:val="both"/>
      </w:pPr>
      <w:r>
        <w:rPr>
          <w:rFonts w:ascii="Times New Roman" w:hAnsi="Times New Roman" w:eastAsia="Times New Roman"/>
          <w:b w:val="0"/>
          <w:i w:val="0"/>
          <w:color w:val="20252B"/>
          <w:sz w:val="2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pageBreakBefore w:val="0"/>
        <w:spacing w:after="80" w:line="269" w:lineRule="auto"/>
        <w:ind w:firstLine="709"/>
        <w:jc w:val="both"/>
      </w:pPr>
      <w:r>
        <w:rPr>
          <w:rFonts w:ascii="Times New Roman" w:hAnsi="Times New Roman" w:eastAsia="Times New Roman"/>
          <w:b w:val="0"/>
          <w:i w:val="0"/>
          <w:color w:val="20252B"/>
          <w:sz w:val="20"/>
        </w:rPr>
        <w:t>Назначение торцевых полусфер</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pPr>
        <w:pageBreakBefore w:val="0"/>
        <w:spacing w:after="40"/>
        <w:ind w:firstLine="709"/>
        <w:jc w:val="both"/>
      </w:pPr>
      <w:r>
        <w:rPr>
          <w:rFonts w:ascii="Times New Roman" w:hAnsi="Times New Roman"/>
        </w:rPr>
        <w:br w:type="page"/>
      </w:r>
    </w:p>
    <w:p>
      <w:pPr>
        <w:pStyle w:val="Heading1"/>
        <w:keepNext/>
        <w:pageBreakBefore w:val="0"/>
        <w:spacing w:after="40"/>
        <w:jc w:val="left"/>
      </w:pPr>
      <w:r>
        <w:rPr>
          <w:rFonts w:ascii="Times New Roman" w:hAnsi="Times New Roman" w:eastAsia="Times New Roman"/>
          <w:b/>
          <w:i w:val="0"/>
          <w:color w:val="1F3A5F"/>
          <w:sz w:val="30"/>
        </w:rPr>
        <w:t>2. ФИЗИЧЕСКИЕ ПРИНЦИПЫ И РАСЧЁТНЫЕ ПАРАМЕТРЫ</w:t>
      </w:r>
    </w:p>
    <w:p>
      <w:pPr>
        <w:pStyle w:val="Heading2"/>
        <w:keepNext/>
        <w:pageBreakBefore w:val="0"/>
        <w:spacing w:after="40"/>
        <w:jc w:val="left"/>
      </w:pPr>
      <w:r>
        <w:rPr>
          <w:rFonts w:ascii="Times New Roman" w:hAnsi="Times New Roman" w:eastAsia="Times New Roman"/>
          <w:b/>
          <w:i w:val="0"/>
          <w:color w:val="2F5D83"/>
          <w:sz w:val="25"/>
        </w:rPr>
        <w:t>2.1. Искусственная гравитация</w:t>
      </w:r>
    </w:p>
    <w:p>
      <w:pPr>
        <w:pageBreakBefore w:val="0"/>
        <w:spacing w:after="80" w:line="269" w:lineRule="auto"/>
        <w:ind w:firstLine="397"/>
        <w:jc w:val="both"/>
      </w:pPr>
      <w:r>
        <w:rPr>
          <w:rFonts w:ascii="Times New Roman" w:hAnsi="Times New Roman" w:eastAsia="Times New Roman"/>
          <w:b w:val="0"/>
          <w:i w:val="0"/>
          <w:color w:val="20252B"/>
          <w:sz w:val="2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pageBreakBefore w:val="0"/>
        <w:spacing w:after="80" w:line="269" w:lineRule="auto"/>
        <w:ind w:firstLine="709"/>
        <w:jc w:val="both"/>
      </w:pPr>
      <w:r>
        <w:rPr>
          <w:rFonts w:ascii="Times New Roman" w:hAnsi="Times New Roman" w:eastAsia="Times New Roman"/>
          <w:b w:val="0"/>
          <w:i w:val="0"/>
          <w:color w:val="20252B"/>
          <w:sz w:val="20"/>
        </w:rPr>
        <w:t>a = ω² · R</w:t>
      </w:r>
    </w:p>
    <w:p>
      <w:pPr>
        <w:pageBreakBefore w:val="0"/>
        <w:spacing w:after="80" w:line="269" w:lineRule="auto"/>
        <w:ind w:firstLine="709"/>
        <w:jc w:val="both"/>
      </w:pPr>
      <w:r>
        <w:rPr>
          <w:rFonts w:ascii="Times New Roman" w:hAnsi="Times New Roman" w:eastAsia="Times New Roman"/>
          <w:b w:val="0"/>
          <w:i w:val="0"/>
          <w:color w:val="20252B"/>
          <w:sz w:val="20"/>
        </w:rPr>
        <w:t>где a — центростремительное ускорение (м/с²); ω — угловая скорость вращения (рад/с); R — радиус цилиндра (м).</w:t>
      </w:r>
    </w:p>
    <w:p>
      <w:pPr>
        <w:pageBreakBefore w:val="0"/>
        <w:spacing w:after="80" w:line="269" w:lineRule="auto"/>
        <w:ind w:firstLine="709"/>
        <w:jc w:val="both"/>
      </w:pPr>
      <w:r>
        <w:rPr>
          <w:rFonts w:ascii="Times New Roman" w:hAnsi="Times New Roman" w:eastAsia="Times New Roman"/>
          <w:b w:val="0"/>
          <w:i w:val="0"/>
          <w:color w:val="20252B"/>
          <w:sz w:val="20"/>
        </w:rPr>
        <w:t>Расчёт для создания земной гравитации (a = 9,81 м/с²):</w:t>
      </w:r>
    </w:p>
    <w:p>
      <w:pPr>
        <w:pageBreakBefore w:val="0"/>
        <w:spacing w:after="80" w:line="269" w:lineRule="auto"/>
        <w:ind w:firstLine="397"/>
        <w:jc w:val="both"/>
      </w:pPr>
      <w:r>
        <w:rPr>
          <w:rFonts w:ascii="Times New Roman" w:hAnsi="Times New Roman" w:eastAsia="Times New Roman"/>
          <w:b w:val="0"/>
          <w:i w:val="0"/>
          <w:color w:val="20252B"/>
          <w:sz w:val="20"/>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62591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 — тяжесть и окружная скорость в зависимости от радиуса</w:t>
      </w:r>
    </w:p>
    <w:p>
      <w:pPr>
        <w:pStyle w:val="Heading2"/>
        <w:keepNext/>
        <w:pageBreakBefore w:val="0"/>
        <w:spacing w:after="40"/>
        <w:jc w:val="left"/>
      </w:pPr>
      <w:r>
        <w:rPr>
          <w:rFonts w:ascii="Times New Roman" w:hAnsi="Times New Roman" w:eastAsia="Times New Roman"/>
          <w:b/>
          <w:i w:val="0"/>
          <w:color w:val="2F5D83"/>
          <w:sz w:val="25"/>
        </w:rPr>
        <w:t>2.2. Градиент гравитации</w:t>
      </w:r>
    </w:p>
    <w:p>
      <w:pPr>
        <w:pageBreakBefore w:val="0"/>
        <w:spacing w:after="80" w:line="269" w:lineRule="auto"/>
        <w:ind w:firstLine="397"/>
        <w:jc w:val="both"/>
      </w:pPr>
      <w:r>
        <w:rPr>
          <w:rFonts w:ascii="Times New Roman" w:hAnsi="Times New Roman" w:eastAsia="Times New Roman"/>
          <w:b w:val="0"/>
          <w:i w:val="0"/>
          <w:color w:val="20252B"/>
          <w:sz w:val="20"/>
        </w:rPr>
        <w:t>Важной характеристикой является изменение величины гравитации по высоте. Для человека ростом h = 2 м:</w:t>
      </w:r>
    </w:p>
    <w:p>
      <w:pPr>
        <w:pageBreakBefore w:val="0"/>
        <w:spacing w:after="80" w:line="269" w:lineRule="auto"/>
        <w:ind w:firstLine="397"/>
        <w:jc w:val="both"/>
      </w:pPr>
      <w:r>
        <w:rPr>
          <w:rFonts w:ascii="Times New Roman" w:hAnsi="Times New Roman" w:eastAsia="Times New Roman"/>
          <w:b w:val="0"/>
          <w:i w:val="0"/>
          <w:color w:val="20252B"/>
          <w:sz w:val="20"/>
        </w:rPr>
        <w:t>Данный градиент является физиологически незаметным для вестибулярного аппарата человека.</w:t>
      </w:r>
    </w:p>
    <w:p>
      <w:pPr>
        <w:pStyle w:val="Heading2"/>
        <w:keepNext/>
        <w:pageBreakBefore w:val="0"/>
        <w:spacing w:after="40"/>
        <w:jc w:val="left"/>
      </w:pPr>
      <w:r>
        <w:rPr>
          <w:rFonts w:ascii="Times New Roman" w:hAnsi="Times New Roman" w:eastAsia="Times New Roman"/>
          <w:b/>
          <w:i w:val="0"/>
          <w:color w:val="2F5D83"/>
          <w:sz w:val="25"/>
        </w:rPr>
        <w:t>2.3. Эффект Кориолиса</w:t>
      </w:r>
    </w:p>
    <w:p>
      <w:pPr>
        <w:pageBreakBefore w:val="0"/>
        <w:spacing w:after="80" w:line="269" w:lineRule="auto"/>
        <w:ind w:firstLine="397"/>
        <w:jc w:val="both"/>
      </w:pPr>
      <w:r>
        <w:rPr>
          <w:rFonts w:ascii="Times New Roman" w:hAnsi="Times New Roman" w:eastAsia="Times New Roman"/>
          <w:b w:val="0"/>
          <w:i w:val="0"/>
          <w:color w:val="20252B"/>
          <w:sz w:val="20"/>
        </w:rPr>
        <w:t>При движении объектов внутри вращающейся системы отсчёта возникает сила Кориолиса:</w:t>
      </w:r>
    </w:p>
    <w:p>
      <w:pPr>
        <w:pageBreakBefore w:val="0"/>
        <w:spacing w:after="80" w:line="269" w:lineRule="auto"/>
        <w:ind w:firstLine="709"/>
        <w:jc w:val="both"/>
      </w:pPr>
      <w:r>
        <w:rPr>
          <w:rFonts w:ascii="Times New Roman" w:hAnsi="Times New Roman" w:eastAsia="Times New Roman"/>
          <w:b w:val="0"/>
          <w:i w:val="0"/>
          <w:color w:val="20252B"/>
          <w:sz w:val="20"/>
        </w:rPr>
        <w:t>Fc = 2m(ω × v)</w:t>
      </w:r>
    </w:p>
    <w:p>
      <w:pPr>
        <w:pageBreakBefore w:val="0"/>
        <w:spacing w:after="80" w:line="269" w:lineRule="auto"/>
        <w:ind w:firstLine="709"/>
        <w:jc w:val="both"/>
      </w:pPr>
      <w:r>
        <w:rPr>
          <w:rFonts w:ascii="Times New Roman" w:hAnsi="Times New Roman" w:eastAsia="Times New Roman"/>
          <w:b w:val="0"/>
          <w:i w:val="0"/>
          <w:color w:val="20252B"/>
          <w:sz w:val="20"/>
        </w:rPr>
        <w:t>Для пешехода, движущегося со скоростью v = 1,5 м/с вдоль оси цилиндра:</w:t>
      </w:r>
    </w:p>
    <w:p>
      <w:pPr>
        <w:pageBreakBefore w:val="0"/>
        <w:spacing w:after="80" w:line="269" w:lineRule="auto"/>
        <w:ind w:firstLine="397"/>
        <w:jc w:val="both"/>
      </w:pPr>
      <w:r>
        <w:rPr>
          <w:rFonts w:ascii="Times New Roman" w:hAnsi="Times New Roman" w:eastAsia="Times New Roman"/>
          <w:b w:val="0"/>
          <w:i w:val="0"/>
          <w:color w:val="20252B"/>
          <w:sz w:val="20"/>
        </w:rPr>
        <w:t>Данное ускорение является минимальным и не вызывает дискомфорта или дезориентации. Верификация подтверждает: 0,1329 м/с² = 0,0135 g.</w:t>
      </w:r>
    </w:p>
    <w:p>
      <w:pPr>
        <w:pStyle w:val="Heading2"/>
        <w:keepNext/>
        <w:pageBreakBefore w:val="0"/>
        <w:spacing w:after="40"/>
        <w:jc w:val="left"/>
      </w:pPr>
      <w:r>
        <w:rPr>
          <w:rFonts w:ascii="Times New Roman" w:hAnsi="Times New Roman" w:eastAsia="Times New Roman"/>
          <w:b/>
          <w:i w:val="0"/>
          <w:color w:val="2F5D83"/>
          <w:sz w:val="25"/>
        </w:rPr>
        <w:t>2.4. Климатическое зонирование</w:t>
      </w:r>
    </w:p>
    <w:p>
      <w:pPr>
        <w:pageBreakBefore w:val="0"/>
        <w:spacing w:after="80" w:line="269" w:lineRule="auto"/>
        <w:ind w:firstLine="397"/>
        <w:jc w:val="both"/>
      </w:pPr>
      <w:r>
        <w:rPr>
          <w:rFonts w:ascii="Times New Roman" w:hAnsi="Times New Roman" w:eastAsia="Times New Roman"/>
          <w:b w:val="0"/>
          <w:i w:val="0"/>
          <w:color w:val="20252B"/>
          <w:sz w:val="2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pStyle w:val="Caption"/>
        <w:keepNext w:val="0"/>
        <w:pageBreakBefore w:val="0"/>
        <w:spacing w:after="100" w:before="100"/>
        <w:jc w:val="center"/>
      </w:pPr>
      <w:r>
        <w:rPr>
          <w:rFonts w:ascii="Times New Roman" w:hAnsi="Times New Roman" w:eastAsia="Times New Roman"/>
          <w:b/>
          <w:i/>
          <w:color w:val="667085"/>
          <w:sz w:val="17"/>
        </w:rPr>
        <w:t>Таблица 2.1 — Климатическое зонирование цилиндрической части (длина 40 км)</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Зона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Расстояние</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Температура, °C</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Влажность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Осадки</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Тропическая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+28 … +35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70–85 %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Обильные, частые дожди</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Субтропическая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10–22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 +28</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60–70 %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Сезонные, умеренные</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22–32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 … +15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55–65 %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Умеренные, зимой снег</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Холодная (арктическая)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32–40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 –15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40–50 %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Снег, изморозь, редкие</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301736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3 — климатическое зонирование по длине цилиндра</w:t>
      </w:r>
    </w:p>
    <w:p>
      <w:pPr>
        <w:pageBreakBefore w:val="0"/>
        <w:spacing w:after="80" w:line="269" w:lineRule="auto"/>
        <w:ind w:firstLine="397"/>
        <w:jc w:val="both"/>
      </w:pPr>
      <w:r>
        <w:rPr>
          <w:rFonts w:ascii="Times New Roman" w:hAnsi="Times New Roman" w:eastAsia="Times New Roman"/>
          <w:b w:val="0"/>
          <w:i w:val="0"/>
          <w:color w:val="20252B"/>
          <w:sz w:val="20"/>
        </w:rPr>
        <w:t>Торцевые полусферы являются техническими зонами и имеют отдельные системы климат-контроля:</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Передняя полусфера (центр управления): +20…+22 °C, влажность ~50 %.</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Задняя полусфера (склады, промышленность, стоянка и обслуживание техники): от +5 до +15 °C в зависимости от технологических нужд, влажность 40–60 %.</w:t>
      </w:r>
    </w:p>
    <w:p>
      <w:pPr>
        <w:pStyle w:val="Heading2"/>
        <w:keepNext/>
        <w:pageBreakBefore w:val="0"/>
        <w:spacing w:after="40"/>
        <w:jc w:val="left"/>
      </w:pPr>
      <w:r>
        <w:rPr>
          <w:rFonts w:ascii="Times New Roman" w:hAnsi="Times New Roman" w:eastAsia="Times New Roman"/>
          <w:b/>
          <w:i w:val="0"/>
          <w:color w:val="2F5D83"/>
          <w:sz w:val="25"/>
        </w:rPr>
        <w:t>2.5. Экосистема и селекционные формы обитателей</w:t>
      </w:r>
    </w:p>
    <w:p>
      <w:pPr>
        <w:pageBreakBefore w:val="0"/>
        <w:spacing w:after="80" w:line="269" w:lineRule="auto"/>
        <w:ind w:firstLine="397"/>
        <w:jc w:val="both"/>
      </w:pPr>
      <w:r>
        <w:rPr>
          <w:rFonts w:ascii="Times New Roman" w:hAnsi="Times New Roman" w:eastAsia="Times New Roman"/>
          <w:b w:val="0"/>
          <w:i w:val="0"/>
          <w:color w:val="20252B"/>
          <w:sz w:val="2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pageBreakBefore w:val="0"/>
        <w:spacing w:after="80" w:line="269" w:lineRule="auto"/>
        <w:ind w:firstLine="397"/>
        <w:jc w:val="both"/>
      </w:pPr>
      <w:r>
        <w:rPr>
          <w:rFonts w:ascii="Times New Roman" w:hAnsi="Times New Roman" w:eastAsia="Times New Roman"/>
          <w:b w:val="0"/>
          <w:i w:val="0"/>
          <w:color w:val="20252B"/>
          <w:sz w:val="2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 предусматривается. Овощи, зелень и лекарственные травы размещаются в субтропической зоне, грибы — в умеренной (п. Б.12). Опытные посадки и семенной материал также размещаются в тёплых зонах. Животные содержатся в утеплённых помещениях с обогревом.</w:t>
      </w:r>
    </w:p>
    <w:p>
      <w:pPr>
        <w:pageBreakBefore w:val="0"/>
        <w:spacing w:after="40"/>
        <w:ind w:firstLine="709"/>
        <w:jc w:val="both"/>
      </w:pPr>
      <w:r>
        <w:rPr>
          <w:rFonts w:ascii="Times New Roman" w:hAnsi="Times New Roman"/>
        </w:rPr>
        <w:br w:type="page"/>
      </w:r>
    </w:p>
    <w:p>
      <w:pPr>
        <w:pStyle w:val="Heading1"/>
        <w:keepNext/>
        <w:pageBreakBefore w:val="0"/>
        <w:spacing w:after="40"/>
        <w:jc w:val="left"/>
      </w:pPr>
      <w:r>
        <w:rPr>
          <w:rFonts w:ascii="Times New Roman" w:hAnsi="Times New Roman" w:eastAsia="Times New Roman"/>
          <w:b/>
          <w:i w:val="0"/>
          <w:color w:val="1F3A5F"/>
          <w:sz w:val="30"/>
        </w:rPr>
        <w:t>3. БИОРАЗНООБРАЗИЕ И ЗОНАЛЬНОЕ РАСПРЕДЕЛЕНИЕ БИОЦЕНОЗОВ</w:t>
      </w:r>
    </w:p>
    <w:p>
      <w:pPr>
        <w:pageBreakBefore w:val="0"/>
        <w:spacing w:after="80" w:line="269" w:lineRule="auto"/>
        <w:ind w:firstLine="397"/>
        <w:jc w:val="both"/>
      </w:pPr>
      <w:r>
        <w:rPr>
          <w:rFonts w:ascii="Times New Roman" w:hAnsi="Times New Roman" w:eastAsia="Times New Roman"/>
          <w:b w:val="0"/>
          <w:i w:val="0"/>
          <w:color w:val="20252B"/>
          <w:sz w:val="2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pStyle w:val="Heading2"/>
        <w:keepNext/>
        <w:pageBreakBefore w:val="0"/>
        <w:spacing w:after="40"/>
        <w:jc w:val="left"/>
      </w:pPr>
      <w:r>
        <w:rPr>
          <w:rFonts w:ascii="Times New Roman" w:hAnsi="Times New Roman" w:eastAsia="Times New Roman"/>
          <w:b/>
          <w:i w:val="0"/>
          <w:color w:val="2F5D83"/>
          <w:sz w:val="25"/>
        </w:rPr>
        <w:t>3.1. Тропическая зона (0–10 км)</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Численность / 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Батат — Ipomoea batatas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культуры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Таро — Colocasia esculenta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Огурец — Cucumis sativus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Перец стручковый — Capsicum annuum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Баклажан — Solanum melongena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Томат — Solanum lycopersicum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Фрукты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Банан райский — Musa paradisiaca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соки, витамины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Ананас — Ananas comosus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Манго — Mangifera indica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Папайя — Carica papaya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Маракуйя — Passiflora edulis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Гуава — Psidium guajava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Рамбутан — Nephelium lappaceum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Зерновые и крахмалистые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Рис посевной — Oryza sativa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 км² (120 000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Основная пища, мука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Кукуруза сахарная — Zea mays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 км² (180 000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Основная пища, крахмал</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Маниок съедобный — Manihot esculenta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культуры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Ямс — Dioscorea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Бобовые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Соя культурная — Glycine max</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масло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Фасоль огненно-красная — Phaseolus coccineus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Арахис — Arachis hypogaea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Пряности и напитки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Кофе аравийский — Coffea arabica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Напитки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Какао — Theobroma cacao</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Напитки, шоколад</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Ваниль — Vanilla planifolia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Имбирь — Zingiber officinale</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 чай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Куркума — Curcuma longa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Корица — Cinnamomum verum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Лекарственные растения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Алоэ вера — Aloe vera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Ранозаживление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Лимонник китайский — Schisandra chinensis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Тонизирование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Каланхоэ — Kalanchoe pinnata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Ранозаживление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Стевия — Stevia rebaudiana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Подсластитель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Готу кола — Centella asiatica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Тонизирование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Шампиньон двуспоровый — Agaricus bisporus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Вёшенка розовая — Pleurotus djamor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Гриб-зонтик — Macrolepiota procera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Водоросли (фитопланктон)</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Спирулина — Arthrospira platensis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Биореакторы (5 000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витамины, корм</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(5 000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детоксикация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Фитопланктон — Phaeodactylum tricornutum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тиляпии (5 000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для рыб</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Тиляпия (пищевые) — Oreochromis niloticus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жир</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Тамбаки (пищевые) — Colossoma macropomum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Плекостомус (техн.) — Hypostomus plecostomus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Чистка стенок бассейнов</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Анциструс (техн.) — Ancistrus dolichopterus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Чистка оборудования</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Отоцинклюс (техн.) — Otocinclus affinis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Чистка растений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Сиамский водорослеед (техн.) — Crossocheilus oblongus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Чистка нитчатых водорослей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Животные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Утка домашняя — Anas platyrhynchos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Яйца, мясо, перо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Тутовый шелкопряд — Bombyx mori</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500 000 особей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Шёлк, удобрение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Полезные бактерии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Азотофиксаторы — Rhizobium spp., Azotobacter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всех зон</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Фиксация азота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Фосфатмобилизаторы — Bacillus megaterium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грунте всех зон</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Растворение фосфатов</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Микоризные грибы — Glomus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корневой зоны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Симбиоз с корнями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Компостные — Bacillus subtilis, Streptomyces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компостных установках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Разложение органики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ферментационных установках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Силос, кисломолочные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Дрожжи — Saccharomyces cerevisiae</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пекарнях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Выпечка</w:t>
            </w:r>
          </w:p>
        </w:tc>
      </w:tr>
    </w:tbl>
    <w:p>
      <w:pPr>
        <w:pStyle w:val="Heading2"/>
        <w:keepNext/>
        <w:pageBreakBefore w:val="0"/>
        <w:spacing w:after="40"/>
        <w:jc w:val="left"/>
      </w:pPr>
      <w:r>
        <w:rPr>
          <w:rFonts w:ascii="Times New Roman" w:hAnsi="Times New Roman" w:eastAsia="Times New Roman"/>
          <w:b/>
          <w:i w:val="0"/>
          <w:color w:val="2F5D83"/>
          <w:sz w:val="25"/>
        </w:rPr>
        <w:t>3.2. Субтропическая зона (10–22 км)</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Численность / 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Томат — Solanum lycopersicum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Свежие и консервированные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Огурец — Cucumis sativus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Кабачок — Cucurbita pepo</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Артишок — Cynara cardunculus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Спаржа — Asparagus officinalis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Лук репчатый — Allium cepa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Чеснок — Allium sativum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Фрукты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Апельсин — Citrus sinensis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 соки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Лимон — Citrus limon</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Грейпфрут — Citrus paradisi</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Виноград культурный — Vitis vinifera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Инжир — Ficus carica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 сушёные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Гранат — Punica granatum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соки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Хурма — Diospyros kaki</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Зерновые и бобовые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Пшеница мягкая — Triticum aestivum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км² (50 000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Мука,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Ячмень — Hordeum vulgare</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км² (20 000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Крупы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Нут — Cicer arietinum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Чечевица — Lens culinaris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Масличные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Маслина европейская — Olea europaea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Подсолнечник — Helianthus annuus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13,3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Масло, семечки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Кунжут — Sesamum indicum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Масло, 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Пряности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Базилик — Ocimum basilicum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Зелень (перенесена из холодной зоны, п. Б.12)</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Салат листовой — Lactuca sativa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Свежая зелень</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Шпинат — Spinacia oleracea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Свежая зелень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Редис — Raphanus sativus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Корнеплод</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Петрушка — Petroselinum crispum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Укроп — Anethum graveolens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Лук на перо — Allium cepa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Зелень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Микрозелень (смесь)</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Витамины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Родиола розовая — Rhodiola rosea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зелени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Адаптоген</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Левзея — Rhaponticum carthamoides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зелени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Адаптоген</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Зверобой — Hypericum perforatum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зелени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Розмарин — Rosmarinus officinalis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 чай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Тимьян — Thymus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Мята — Mentha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Чай, 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Шалфей — Salvia officinalis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Лекарственные растения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Календула — Calendula officinalis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Антисептик</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Ромашка аптечная — Matricaria chamomilla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Эхинацея — Echinacea purpurea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Иммуномодулятор</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Зверобой — Hypericum perforatum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Боярышник — Crataegus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Сердце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Шампиньон — Agaricus bisporus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Вёшенка обыкновенная — Pleurotus ostreatus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Опёнок осенний — Armillaria mellea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Водоросли (фитопланктон)</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Спирулина — Arthrospira platensis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Биореакторы (3 000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витамины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(2 000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детоксикация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Фитопланктон — Phaeodactylum tricornutum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толстолобика (3 000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для рыб, очистка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Толстолобик (пищевые) — Hypophthalmichthys molitrix</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фильтрация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Отоцинклюс (техн.) — Otocinclus affinis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Чистка водорослей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Сиамский водорослеед (техн.) — Crossocheilus oblongus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Животные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Альпака — Vicugna pacos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Шерсть, мясо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Кролик домашний — Oryctolagus cuniculus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шкурки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Курица — Gallus gallus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яйца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Перепел японский — Coturnix japonica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Пчела медоносная — Apis mellifera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2 000 семей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Мёд, опыление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Полезные бактерии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Азотофиксаторы — Rhizobium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бобовых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Фиксация азота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Компостные — Bacillus subtilis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компостных установках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Разложение органики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ферментационных установках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Силос, кисломолочные</w:t>
            </w:r>
          </w:p>
        </w:tc>
      </w:tr>
    </w:tbl>
    <w:p>
      <w:pPr>
        <w:pStyle w:val="Heading2"/>
        <w:keepNext/>
        <w:pageBreakBefore w:val="0"/>
        <w:spacing w:after="40"/>
        <w:jc w:val="left"/>
      </w:pPr>
      <w:r>
        <w:rPr>
          <w:rFonts w:ascii="Times New Roman" w:hAnsi="Times New Roman" w:eastAsia="Times New Roman"/>
          <w:b/>
          <w:i w:val="0"/>
          <w:color w:val="2F5D83"/>
          <w:sz w:val="25"/>
        </w:rPr>
        <w:t>3.3. Умеренная зона (22–32 км)</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Численность / 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Картофель — Solanum tuberosum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км² (400 000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Корнеплоды, крахмал</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Морковь — Daucus carota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Свёкла — Beta vulgaris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Лук репчатый — Allium cepa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Пищевой, на перо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Капуста белокочанная — Brassica oleracea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Пищевой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Брокколи — Brassica oleracea var. italica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Цветная капуста — Brassica oleracea var. botrytis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Салат — Lactuca sativa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Листовые овощи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Шпинат — Spinacia oleracea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Топинамбур — Helianthus tuberosus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Корнеплоды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Фрукты / Ягоды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Яблоня домашняя — Malus domestica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варенье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Груша — Pyrus communis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Слива — Prunus domestica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варенье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Вишня — Prunus cerasus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Малина — Rubus idaeus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Смородина чёрная — Ribes nigrum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витамин C</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Крыжовник — Ribes uva-crispa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Земляника садовая — Fragaria × ananassa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Зерновые и бобовые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Рожь — Secale cereale</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Мука,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Овёс — Avena sativa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Крупы, хлопья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Горох — Pisum sativum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Фасоль — Phaseolus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Лекарственные растения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Подорожник большой — Plantago major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Ранозаживление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Тысячелистник — Achillea millefolium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Зверобой — Hypericum perforatum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Валериана — Valeriana officinalis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Пустырник — Leonurus cardiaca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Сердце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Липа — Tilia cordata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 чай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Грибы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Белый гриб — Boletus edulis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Деликатесные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Шампиньон — Agaricus bisporus (из холодной зоны)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 тёмные помещения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Вёшенка — Pleurotus ostreatus (из холодной зоны)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Опёнок зимний — Flammulina velutipes (из холодной зоны)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Подберёзовик — Leccinum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Лисичка — Cantharellus cibarius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Деликатесные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Шампиньон — Agaricus bisporus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Водоросли (фитопланктон)</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(3 000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биодобавки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Нори — Porphyra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Биореакторы (2 000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Суши, супы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Фитопланктон — Phaeodactylum tricornutum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Бассейны толстолобика (3 000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Корм для рыб, очистка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Рыбы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Толстолобик (пищевые) — Hypophthalmichthys molitrix</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фильтрация</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Отоцинклюс (техн.) — Otocinclus affinis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Чистка водорослей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Сиамский водорослеед (техн.) — Crossocheilus oblongus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Животные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Корова домашняя (безрогие) — Bos taurus (polled)</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Молоко (18 000 т/год), мясо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Коза домашняя (безрогие) — Capra hircus (polled)</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Молоко (4 500 т/год), мясо, шерсть</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Свинья домашняя — Sus scrofa f. domestica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сало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Кролик домашний — Oryctolagus cuniculus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шкурки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Нутрия — Myocastor coypus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14 300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мех</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Гусь — Anser anser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перо, яйца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Индейка — Meleagris gallopavo</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Утка — Anas platyrhynchos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яйца, перо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Перепел японский — Coturnix japonica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яйца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Полезные бактерии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Азотофиксаторы — Rhizobium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грунте бобовых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Фиксация азота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Фосфатмобилизаторы — Bacillus megaterium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всех зон</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Растворение фосфатов</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Компостные — Bacillus subtilis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компостных установках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Разложение органики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ферментационных установках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Силос, кисломолочные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Дрожжи — Saccharomyces cerevisiae</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пекарнях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Выпечка</w:t>
            </w:r>
          </w:p>
        </w:tc>
      </w:tr>
    </w:tbl>
    <w:p>
      <w:pPr>
        <w:pStyle w:val="Heading2"/>
        <w:keepNext/>
        <w:pageBreakBefore w:val="0"/>
        <w:spacing w:after="40"/>
        <w:jc w:val="left"/>
      </w:pPr>
      <w:r>
        <w:rPr>
          <w:rFonts w:ascii="Times New Roman" w:hAnsi="Times New Roman" w:eastAsia="Times New Roman"/>
          <w:b/>
          <w:i w:val="0"/>
          <w:color w:val="2F5D83"/>
          <w:sz w:val="25"/>
        </w:rPr>
        <w:t>3.4. Холодная (арктическая) зона (32–40 км)</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 / Площадь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Условия</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Растения открытого грунта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Ягель — Cladonia rangiferina</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лекарства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Открытый грунт, −5…−15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Брусника — Vaccinium vitis-idaea</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км²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морсы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Зимует под снегом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Голубика топяная — Vaccinium uliginosum</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 витамины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Открытый грунт</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Морошка — Rubus chamaemorus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км²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деликатес</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Клюква — Oxycoccus palustris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 морсы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Шикша — Empetrum nigrum</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корм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Мхи — Bryophyta</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укрытие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Водоросли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Ламинария — Laminaria spp.</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Бассейны (5 000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Йод, альгинаты, белок</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Нори — Porphyra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(5 000 т/год)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Суши, супы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(3 000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биодобавки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Фитопланктон — Nannochloropsis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сигов (5 000 т/год)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очистка воды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Сиг (пищевые) — Coregonus spp.</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4 000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икра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+4…+8 °C, корм: фитопланктон</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Животные (отапл. помещ.)</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Альпака (холодостойкая) — Vicugna pacos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голов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Пух, шерсть, мясо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Вольеры +5…+10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Ангорский кролик — O. cuniculus f. angorensis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 голов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Пух, мясо</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Нутрия — Myocastor coypus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14 300 голов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Мех, мясо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Куропатка белая — Lagopus lagopus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яйца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Гусь серый — Anser anser</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перо, яйца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Утка (холодостойкая) — Anas platyrhynchos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 голов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Полезные бактерии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Азотофиксаторы — Rhizobium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грунте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Фиксация азота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Естественная среда</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Компостные — B. subtilis, Streptomyces spp.</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установках</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Разложение органики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Компостеры</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установках</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Силос, кисломолочные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Ферментаторы</w:t>
            </w:r>
          </w:p>
        </w:tc>
      </w:tr>
    </w:tbl>
    <w:p>
      <w:pPr>
        <w:pageBreakBefore w:val="0"/>
        <w:spacing w:after="40"/>
        <w:ind w:firstLine="709"/>
        <w:jc w:val="both"/>
      </w:pPr>
      <w:r>
        <w:rPr>
          <w:rFonts w:ascii="Times New Roman" w:hAnsi="Times New Roman"/>
        </w:rPr>
        <w:br w:type="page"/>
      </w:r>
    </w:p>
    <w:p>
      <w:pPr>
        <w:pStyle w:val="Heading1"/>
        <w:keepNext/>
        <w:pageBreakBefore w:val="0"/>
        <w:spacing w:after="40"/>
        <w:jc w:val="left"/>
      </w:pPr>
      <w:r>
        <w:rPr>
          <w:rFonts w:ascii="Times New Roman" w:hAnsi="Times New Roman" w:eastAsia="Times New Roman"/>
          <w:b/>
          <w:i w:val="0"/>
          <w:color w:val="1F3A5F"/>
          <w:sz w:val="30"/>
        </w:rPr>
        <w:t>4. ИНЖЕНЕРНЫЕ И КОНСТРУКТИВНЫЕ РЕШЕНИЯ</w:t>
      </w:r>
    </w:p>
    <w:p>
      <w:pPr>
        <w:pStyle w:val="Heading2"/>
        <w:keepNext/>
        <w:pageBreakBefore w:val="0"/>
        <w:spacing w:after="40"/>
        <w:jc w:val="left"/>
      </w:pPr>
      <w:r>
        <w:rPr>
          <w:rFonts w:ascii="Times New Roman" w:hAnsi="Times New Roman" w:eastAsia="Times New Roman"/>
          <w:b/>
          <w:i w:val="0"/>
          <w:color w:val="2F5D83"/>
          <w:sz w:val="25"/>
        </w:rPr>
        <w:t>4.1. Атмосфера: состав, давление и радиальное распределение</w:t>
      </w:r>
    </w:p>
    <w:p>
      <w:pPr>
        <w:pageBreakBefore w:val="0"/>
        <w:spacing w:after="80" w:line="269" w:lineRule="auto"/>
        <w:ind w:firstLine="397"/>
        <w:jc w:val="both"/>
      </w:pPr>
      <w:r>
        <w:rPr>
          <w:rFonts w:ascii="Times New Roman" w:hAnsi="Times New Roman" w:eastAsia="Times New Roman"/>
          <w:b w:val="0"/>
          <w:i w:val="0"/>
          <w:color w:val="20252B"/>
          <w:sz w:val="2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pageBreakBefore w:val="0"/>
        <w:spacing w:after="80" w:line="269" w:lineRule="auto"/>
        <w:ind w:firstLine="709"/>
        <w:jc w:val="both"/>
      </w:pPr>
      <w:r>
        <w:rPr>
          <w:rFonts w:ascii="Times New Roman" w:hAnsi="Times New Roman" w:eastAsia="Times New Roman"/>
          <w:b w:val="0"/>
          <w:i w:val="0"/>
          <w:color w:val="20252B"/>
          <w:sz w:val="20"/>
        </w:rPr>
        <w:t>Полный внутренний объём одного цилиндра:</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Объём цилиндра: V = π R² L = π · 25 · 40 = 1000π ≈ 3 141,6 км³</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Общий объём: Vобщ ≈ 3 612,8 км³</w:t>
      </w:r>
    </w:p>
    <w:p>
      <w:pPr>
        <w:pageBreakBefore w:val="0"/>
        <w:spacing w:after="80" w:line="269" w:lineRule="auto"/>
        <w:ind w:firstLine="397"/>
        <w:jc w:val="both"/>
      </w:pPr>
      <w:r>
        <w:rPr>
          <w:rFonts w:ascii="Times New Roman" w:hAnsi="Times New Roman" w:eastAsia="Times New Roman"/>
          <w:b w:val="0"/>
          <w:i w:val="0"/>
          <w:color w:val="20252B"/>
          <w:sz w:val="2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pageBreakBefore w:val="0"/>
        <w:spacing w:after="80" w:line="269" w:lineRule="auto"/>
        <w:ind w:firstLine="709"/>
        <w:jc w:val="both"/>
      </w:pPr>
      <w:r>
        <w:rPr>
          <w:rFonts w:ascii="Times New Roman" w:hAnsi="Times New Roman" w:eastAsia="Times New Roman"/>
          <w:b w:val="0"/>
          <w:i w:val="0"/>
          <w:color w:val="20252B"/>
          <w:sz w:val="20"/>
        </w:rPr>
        <w:t>где M = 0,02896 кг/моль — молярная масса воздуха; Rg = 8,314 Дж/(моль·К); T = 293,15 К.</w:t>
      </w:r>
    </w:p>
    <w:p>
      <w:pPr>
        <w:pageBreakBefore w:val="0"/>
        <w:spacing w:after="80" w:line="269" w:lineRule="auto"/>
        <w:ind w:firstLine="397"/>
        <w:jc w:val="both"/>
      </w:pPr>
      <w:r>
        <w:rPr>
          <w:rFonts w:ascii="Times New Roman" w:hAnsi="Times New Roman" w:eastAsia="Times New Roman"/>
          <w:b w:val="0"/>
          <w:i w:val="0"/>
          <w:color w:val="20252B"/>
          <w:sz w:val="2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На два цилиндра — 7,55 млрд т.</w:t>
      </w:r>
    </w:p>
    <w:p>
      <w:pPr>
        <w:pageBreakBefore w:val="0"/>
        <w:spacing w:after="80" w:line="269" w:lineRule="auto"/>
        <w:ind w:firstLine="709"/>
        <w:jc w:val="both"/>
      </w:pPr>
      <w:r>
        <w:rPr>
          <w:rFonts w:ascii="Times New Roman" w:hAnsi="Times New Roman" w:eastAsia="Times New Roman"/>
          <w:b w:val="0"/>
          <w:i w:val="0"/>
          <w:color w:val="20252B"/>
          <w:sz w:val="20"/>
        </w:rPr>
        <w:t>Проектные следствия пониженного давления на оси: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Радиальный градиент давления снижает среднюю массу атмосферных летучих относительно однородной модели; точный запас вещества задан материальным балансом станции.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Полёты внутри цилиндра на малых высотах над поверхностью проходят при нормальном давлении; приосевая зона требует герметичных аппаратов.</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2911304"/>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4 — радиальный профиль давления во вращающейся атмосфере</w:t>
      </w:r>
    </w:p>
    <w:p>
      <w:pPr>
        <w:pStyle w:val="Heading2"/>
        <w:keepNext/>
        <w:pageBreakBefore w:val="0"/>
        <w:spacing w:after="40"/>
        <w:jc w:val="left"/>
      </w:pPr>
      <w:r>
        <w:rPr>
          <w:rFonts w:ascii="Times New Roman" w:hAnsi="Times New Roman" w:eastAsia="Times New Roman"/>
          <w:b/>
          <w:i w:val="0"/>
          <w:color w:val="2F5D83"/>
          <w:sz w:val="25"/>
        </w:rPr>
        <w:t>4.2. Прочность несущей стальной оболочки</w:t>
      </w:r>
    </w:p>
    <w:p>
      <w:pPr>
        <w:pageBreakBefore w:val="0"/>
        <w:spacing w:after="80" w:line="269" w:lineRule="auto"/>
        <w:ind w:firstLine="397"/>
        <w:jc w:val="both"/>
      </w:pPr>
      <w:r>
        <w:rPr>
          <w:rFonts w:ascii="Times New Roman" w:hAnsi="Times New Roman" w:eastAsia="Times New Roman"/>
          <w:b w:val="0"/>
          <w:i w:val="0"/>
          <w:color w:val="20252B"/>
          <w:sz w:val="20"/>
        </w:rPr>
        <w:t>Силовая конструкция станции выполняется из стали. Этот раздел определяет, при каких условиях такое исполнение реализуемо.</w:t>
      </w:r>
    </w:p>
    <w:p>
      <w:pPr>
        <w:pageBreakBefore w:val="0"/>
        <w:spacing w:after="80" w:line="269" w:lineRule="auto"/>
        <w:ind w:firstLine="709"/>
        <w:jc w:val="both"/>
      </w:pPr>
      <w:r>
        <w:rPr>
          <w:rFonts w:ascii="Times New Roman" w:hAnsi="Times New Roman" w:eastAsia="Times New Roman"/>
          <w:b w:val="0"/>
          <w:i w:val="0"/>
          <w:color w:val="20252B"/>
          <w:sz w:val="20"/>
        </w:rPr>
        <w:t>Кольцевое (окружное) напряжение во вращающейся цилиндрической оболочке:</w:t>
      </w:r>
    </w:p>
    <w:p>
      <w:pPr>
        <w:pageBreakBefore w:val="0"/>
        <w:spacing w:after="80" w:line="269" w:lineRule="auto"/>
        <w:ind w:firstLine="709"/>
        <w:jc w:val="both"/>
      </w:pPr>
      <w:r>
        <w:rPr>
          <w:rFonts w:ascii="Times New Roman" w:hAnsi="Times New Roman" w:eastAsia="Times New Roman"/>
          <w:b w:val="0"/>
          <w:i w:val="0"/>
          <w:color w:val="20252B"/>
          <w:sz w:val="20"/>
        </w:rPr>
        <w:t>где q — распределённая нагрузка на внутреннюю поверхность; R — радиус; t — толщина силового слоя; ρ — плотность материала; g — создаваемое ускорение.</w:t>
      </w:r>
    </w:p>
    <w:p>
      <w:pPr>
        <w:pageBreakBefore w:val="0"/>
        <w:spacing w:after="80" w:line="269" w:lineRule="auto"/>
        <w:ind w:firstLine="397"/>
        <w:jc w:val="both"/>
      </w:pPr>
      <w:r>
        <w:rPr>
          <w:rFonts w:ascii="Times New Roman" w:hAnsi="Times New Roman" w:eastAsia="Times New Roman"/>
          <w:b w:val="0"/>
          <w:i w:val="0"/>
          <w:color w:val="20252B"/>
          <w:sz w:val="2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pStyle w:val="Caption"/>
        <w:keepNext w:val="0"/>
        <w:pageBreakBefore w:val="0"/>
        <w:spacing w:after="100" w:before="100"/>
        <w:jc w:val="center"/>
      </w:pPr>
      <w:r>
        <w:rPr>
          <w:rFonts w:ascii="Times New Roman" w:hAnsi="Times New Roman" w:eastAsia="Times New Roman"/>
          <w:b/>
          <w:i/>
          <w:color w:val="667085"/>
          <w:sz w:val="17"/>
        </w:rPr>
        <w:t>Таблица 4.1 — Применимость марок стали при R = 5 000 м, 1 g, коэффициент запаса 1,5</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Марка стали</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Предел прочности, МПа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Допускаемое σ, МПа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Остаток на нагрузку, МПа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Применимость</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Ст3, конструкционная общего назначения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267</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Непригодна</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09Г2С, низколегированная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333</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−52</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Непригодна</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30ХГСА, высокопрочная легированная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733</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348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Пригодна, пояс 2,2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18Ni(250), мартенситностареющая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1 700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1 133</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748</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Пригодна, пояс 1,03 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18Ni(300), мартенситностареющая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1 333</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948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Принята, пояс 0,85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18Ni(350), мартенситностареющая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2 400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1 600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1 215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Пригодна, пояс 0,63 м</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83132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5 — применимость марок стали при R = 5 000 м и 1 g</w:t>
      </w:r>
    </w:p>
    <w:p>
      <w:pPr>
        <w:pageBreakBefore w:val="0"/>
        <w:spacing w:after="80" w:line="269" w:lineRule="auto"/>
        <w:ind w:firstLine="397"/>
        <w:jc w:val="both"/>
      </w:pPr>
      <w:r>
        <w:rPr>
          <w:rFonts w:ascii="Times New Roman" w:hAnsi="Times New Roman" w:eastAsia="Times New Roman"/>
          <w:b w:val="0"/>
          <w:i w:val="0"/>
          <w:color w:val="20252B"/>
          <w:sz w:val="20"/>
        </w:rPr>
        <w:t>Принципиальный вывод: обычная конструкционная сталь,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оболочки само по себе не улучшает силовую схему. Требуются высокопрочные стали специальных классов, прежде всего мартенситностареющие.</w:t>
      </w:r>
    </w:p>
    <w:p>
      <w:pPr>
        <w:pageBreakBefore w:val="0"/>
        <w:spacing w:after="80" w:line="269" w:lineRule="auto"/>
        <w:ind w:firstLine="709"/>
        <w:jc w:val="both"/>
      </w:pPr>
      <w:r>
        <w:rPr>
          <w:rFonts w:ascii="Times New Roman" w:hAnsi="Times New Roman" w:eastAsia="Times New Roman"/>
          <w:b w:val="0"/>
          <w:i w:val="0"/>
          <w:color w:val="20252B"/>
          <w:sz w:val="20"/>
        </w:rPr>
        <w:t>Расчёт нагрузки</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Компонент нагрузки</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Величина, кПа</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Атмосферное давление изнутри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101,3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Грунт, средняя толщина 1,5 м, плотность 1 900 кг/м³</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28,0</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Радиационная защита, реголит 1,0 м</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14,7</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Вода: водоёмы, почвенная влага, оборотная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3,7</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Застройка и инфраструктура, 500 кг/м²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4,9</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Суммарная внешняя нагрузка qext (без собственного веса)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152,6</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Гермооболочка и теплоизоляция, собственный вес</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Силовой пояс, собственный вес</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65,4</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Расчётная нагрузка qtotal для σ = qR/t</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222,4</w:t>
            </w:r>
          </w:p>
        </w:tc>
      </w:tr>
    </w:tbl>
    <w:p>
      <w:pPr>
        <w:pageBreakBefore w:val="0"/>
        <w:spacing w:after="80" w:line="269" w:lineRule="auto"/>
        <w:ind w:firstLine="397"/>
        <w:jc w:val="both"/>
      </w:pPr>
      <w:r>
        <w:rPr>
          <w:rFonts w:ascii="Times New Roman" w:hAnsi="Times New Roman" w:eastAsia="Times New Roman"/>
          <w:b w:val="0"/>
          <w:i w:val="0"/>
          <w:color w:val="20252B"/>
          <w:sz w:val="20"/>
        </w:rPr>
        <w:t>Средняя толщина грунта принята 1,5 м.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pageBreakBefore w:val="0"/>
        <w:spacing w:after="80" w:line="269" w:lineRule="auto"/>
        <w:ind w:firstLine="709"/>
        <w:jc w:val="both"/>
      </w:pPr>
      <w:r>
        <w:rPr>
          <w:rFonts w:ascii="Times New Roman" w:hAnsi="Times New Roman" w:eastAsia="Times New Roman"/>
          <w:b w:val="0"/>
          <w:i w:val="0"/>
          <w:color w:val="20252B"/>
          <w:sz w:val="20"/>
        </w:rPr>
        <w:t>Определение толщины силового пояса</w:t>
      </w:r>
    </w:p>
    <w:p>
      <w:pPr>
        <w:pageBreakBefore w:val="0"/>
        <w:spacing w:after="80" w:line="269" w:lineRule="auto"/>
        <w:ind w:firstLine="709"/>
        <w:jc w:val="both"/>
      </w:pPr>
      <w:r>
        <w:rPr>
          <w:rFonts w:ascii="Times New Roman" w:hAnsi="Times New Roman" w:eastAsia="Times New Roman"/>
          <w:b w:val="0"/>
          <w:i w:val="0"/>
          <w:color w:val="20252B"/>
          <w:sz w:val="20"/>
        </w:rPr>
        <w:t>Принимается t = 0,85 м с округлением в большую сторону. Проверка:</w:t>
      </w:r>
    </w:p>
    <w:p>
      <w:pPr>
        <w:pageBreakBefore w:val="0"/>
        <w:spacing w:after="80" w:line="269" w:lineRule="auto"/>
        <w:ind w:firstLine="397"/>
        <w:jc w:val="both"/>
      </w:pPr>
      <w:r>
        <w:rPr>
          <w:rFonts w:ascii="Times New Roman" w:hAnsi="Times New Roman" w:eastAsia="Times New Roman"/>
          <w:b w:val="0"/>
          <w:i w:val="0"/>
          <w:color w:val="20252B"/>
          <w:sz w:val="20"/>
        </w:rPr>
        <w:t>При пределе прочности 2 000 МПа фактический коэффициент запаса составляет 1,53. Доля собственного веса в суммарном напряжении — 30 %.</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2526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6 — нагрузка на оболочку и структура кольцевого напряжения</w:t>
      </w:r>
    </w:p>
    <w:p>
      <w:pPr>
        <w:pageBreakBefore w:val="0"/>
        <w:spacing w:after="80" w:line="269" w:lineRule="auto"/>
        <w:ind w:firstLine="709"/>
        <w:jc w:val="both"/>
      </w:pPr>
      <w:r>
        <w:rPr>
          <w:rFonts w:ascii="Times New Roman" w:hAnsi="Times New Roman" w:eastAsia="Times New Roman"/>
          <w:b w:val="0"/>
          <w:i w:val="0"/>
          <w:color w:val="20252B"/>
          <w:sz w:val="20"/>
        </w:rPr>
        <w:t>Мартенситностареющая сталь и астероидное сырьё</w:t>
      </w:r>
    </w:p>
    <w:p>
      <w:pPr>
        <w:pageBreakBefore w:val="0"/>
        <w:spacing w:after="80" w:line="269" w:lineRule="auto"/>
        <w:ind w:firstLine="397"/>
        <w:jc w:val="both"/>
      </w:pPr>
      <w:r>
        <w:rPr>
          <w:rFonts w:ascii="Times New Roman" w:hAnsi="Times New Roman" w:eastAsia="Times New Roman"/>
          <w:b w:val="0"/>
          <w:i w:val="0"/>
          <w:color w:val="20252B"/>
          <w:sz w:val="2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Элемент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 в стали 18Ni(300)</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Наличие на астероиде (6178) 1986 DA</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Железо</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основа, около 66 %</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Основной металл M-типа, в избытке</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Никель</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18 %</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5–15 % в железных астероидах, требуется обогащение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Кобальт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9 %</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1986 DA отличается повышенным содержанием кобальта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Молибден</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Следовые количества, дефицитен</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Титан</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0,7 %</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Присутствует в силикатной фракции</w:t>
            </w:r>
          </w:p>
        </w:tc>
      </w:tr>
    </w:tbl>
    <w:p>
      <w:pPr>
        <w:pageBreakBefore w:val="0"/>
        <w:spacing w:after="80" w:line="269" w:lineRule="auto"/>
        <w:ind w:firstLine="397"/>
        <w:jc w:val="both"/>
      </w:pPr>
      <w:r>
        <w:rPr>
          <w:rFonts w:ascii="Times New Roman" w:hAnsi="Times New Roman" w:eastAsia="Times New Roman"/>
          <w:b w:val="0"/>
          <w:i w:val="0"/>
          <w:color w:val="20252B"/>
          <w:sz w:val="2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pageBreakBefore w:val="0"/>
        <w:spacing w:after="80" w:line="269" w:lineRule="auto"/>
        <w:ind w:firstLine="397"/>
        <w:jc w:val="both"/>
      </w:pPr>
      <w:r>
        <w:rPr>
          <w:rFonts w:ascii="Times New Roman" w:hAnsi="Times New Roman" w:eastAsia="Times New Roman"/>
          <w:b w:val="0"/>
          <w:i w:val="0"/>
          <w:color w:val="20252B"/>
          <w:sz w:val="2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pageBreakBefore w:val="0"/>
        <w:spacing w:after="80" w:line="269" w:lineRule="auto"/>
        <w:ind w:firstLine="397"/>
        <w:jc w:val="both"/>
      </w:pPr>
      <w:r>
        <w:rPr>
          <w:rFonts w:ascii="Times New Roman" w:hAnsi="Times New Roman" w:eastAsia="Times New Roman"/>
          <w:b w:val="0"/>
          <w:i w:val="0"/>
          <w:color w:val="20252B"/>
          <w:sz w:val="20"/>
        </w:rPr>
        <w:t>Дефицитным остаётся молибден: потребность составляет 1,07 млрд т при следовых его содержаниях в астероидном веществе. Рассматриваются замена сплава, снижение содержания без потери ресурса и отдельная поставка из внешнего источника.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pStyle w:val="Caption"/>
        <w:keepNext w:val="0"/>
        <w:pageBreakBefore w:val="0"/>
        <w:spacing w:after="100" w:before="100"/>
        <w:jc w:val="center"/>
      </w:pPr>
      <w:r>
        <w:rPr>
          <w:rFonts w:ascii="Times New Roman" w:hAnsi="Times New Roman" w:eastAsia="Times New Roman"/>
          <w:b/>
          <w:i/>
          <w:color w:val="667085"/>
          <w:sz w:val="17"/>
        </w:rPr>
        <w:t>Таблица 4.2 — Состав конструкционного пакета обшивки</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Слой (изнутри наружу)</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Толщина, м</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Плотность, кг/м³</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Масса на цилиндр, млрд т</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Функция</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Гермооболочка, нержавеющая сталь</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Герметизация, коррозионная стойкость</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Силовой пояс, сталь 18Ni(300)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10,343</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Восприятие кольцевых напряжений</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Теплоизоляция, коммуникации, рёбра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0,078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Терморазвязка, кабели, трубопроводы</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Радиационная защита, реголит + боросиликат</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1 500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2,325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Защита от ГКЛ и СКЛ</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пакет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13,354</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Силовой набор: шпангоуты и стрингеры (п. Б.14)</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0,070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Монтажная база, местная устойчивость</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пакет с набором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13,426</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29644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7 — поперечное сечение оболочки и состав конструкционного пакета</w:t>
      </w:r>
    </w:p>
    <w:p>
      <w:pPr>
        <w:pageBreakBefore w:val="0"/>
        <w:spacing w:after="80" w:line="269" w:lineRule="auto"/>
        <w:ind w:firstLine="397"/>
        <w:jc w:val="both"/>
      </w:pPr>
      <w:r>
        <w:rPr>
          <w:rFonts w:ascii="Times New Roman" w:hAnsi="Times New Roman" w:eastAsia="Times New Roman"/>
          <w:b w:val="0"/>
          <w:i w:val="0"/>
          <w:color w:val="20252B"/>
          <w:sz w:val="20"/>
        </w:rPr>
        <w:t>Общая толщина конструкционного пакета составляет 2,0 м; его состав и марка стали силового слоя определены в таблице 4.2.</w:t>
      </w:r>
    </w:p>
    <w:p>
      <w:pPr>
        <w:pageBreakBefore w:val="0"/>
        <w:spacing w:after="80" w:line="269" w:lineRule="auto"/>
        <w:ind w:firstLine="709"/>
        <w:jc w:val="both"/>
      </w:pPr>
      <w:r>
        <w:rPr>
          <w:rFonts w:ascii="Times New Roman" w:hAnsi="Times New Roman" w:eastAsia="Times New Roman"/>
          <w:b w:val="0"/>
          <w:i w:val="0"/>
          <w:color w:val="20252B"/>
          <w:sz w:val="20"/>
        </w:rPr>
        <w:t>Замечания по эксплуатации стальной оболочки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pStyle w:val="Heading2"/>
        <w:keepNext/>
        <w:pageBreakBefore w:val="0"/>
        <w:spacing w:after="40"/>
        <w:jc w:val="left"/>
      </w:pPr>
      <w:r>
        <w:rPr>
          <w:rFonts w:ascii="Times New Roman" w:hAnsi="Times New Roman" w:eastAsia="Times New Roman"/>
          <w:b/>
          <w:i w:val="0"/>
          <w:color w:val="2F5D83"/>
          <w:sz w:val="25"/>
        </w:rPr>
        <w:t>4.3. Массовый баланс станции</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Составляющая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Один цилиндр, млрд 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Два цилиндра, млрд т</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Конструкционный пакет обшивки</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13,43</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26,85</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Внутренний грунт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4,06</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8,13</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Вода (водоёмы, почва, оборотная; п. Б.13)</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0,59</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1,17</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Атмосфера (с учётом вращательного градиента)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3,77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7,55</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по цилиндрам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21,85</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43,70</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Ферменная рама по осям, подшипниковые узлы, реакторы, радиаторы и оборудование на них (детализация — табл. 4.11)</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СТАНЦИЯ</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46,70</w:t>
            </w:r>
          </w:p>
        </w:tc>
      </w:tr>
    </w:tbl>
    <w:p>
      <w:pPr>
        <w:pageBreakBefore w:val="0"/>
        <w:spacing w:after="80" w:line="269" w:lineRule="auto"/>
        <w:ind w:firstLine="397"/>
        <w:jc w:val="both"/>
      </w:pPr>
      <w:r>
        <w:rPr>
          <w:rFonts w:ascii="Times New Roman" w:hAnsi="Times New Roman" w:eastAsia="Times New Roman"/>
          <w:b w:val="0"/>
          <w:i w:val="0"/>
          <w:color w:val="20252B"/>
          <w:sz w:val="20"/>
        </w:rPr>
        <w:t>Общая масса станции составляет 46,70 млрд т. Конструкционный пакет с силовым набором — 26,85 млрд т, сталь с набором — 22,05 млрд т. В сводном балансе предусмотрен резерв 3,00 млрд т для рам, узлов, реакторов, радиаторов и внешнего оборудования; ведомость таблицы 4.11 детализирует 0,0447 млрд т этого резерва и не прибавляется повторно.</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2649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8 — массовый баланс станции (два цилиндра)</w:t>
      </w:r>
    </w:p>
    <w:p>
      <w:pPr>
        <w:pStyle w:val="Heading2"/>
        <w:keepNext/>
        <w:pageBreakBefore w:val="0"/>
        <w:spacing w:after="40"/>
        <w:jc w:val="left"/>
      </w:pPr>
      <w:r>
        <w:rPr>
          <w:rFonts w:ascii="Times New Roman" w:hAnsi="Times New Roman" w:eastAsia="Times New Roman"/>
          <w:b/>
          <w:i w:val="0"/>
          <w:color w:val="2F5D83"/>
          <w:sz w:val="25"/>
        </w:rPr>
        <w:t>4.4. Тепловой баланс и система терморегуляции</w:t>
      </w:r>
    </w:p>
    <w:p>
      <w:pPr>
        <w:pageBreakBefore w:val="0"/>
        <w:spacing w:after="80" w:line="269" w:lineRule="auto"/>
        <w:ind w:firstLine="397"/>
        <w:jc w:val="both"/>
      </w:pPr>
      <w:r>
        <w:rPr>
          <w:rFonts w:ascii="Times New Roman" w:hAnsi="Times New Roman" w:eastAsia="Times New Roman"/>
          <w:b w:val="0"/>
          <w:i w:val="0"/>
          <w:color w:val="20252B"/>
          <w:sz w:val="20"/>
        </w:rPr>
        <w:t>Тепловой баланс станции включает низкотемпературный контур 677 ГВт и высокотемпературный контур реакторов 882 ГВт. При температуре радиатора 60 °C и степени черноты 0,95 низкотемпературный контур требует 1 022 км²; располагаемая площадь 1 477 км² даёт запас 1,45.</w:t>
      </w:r>
    </w:p>
    <w:p>
      <w:pPr>
        <w:pageBreakBefore w:val="0"/>
        <w:spacing w:after="80" w:line="269" w:lineRule="auto"/>
        <w:ind w:firstLine="709"/>
        <w:jc w:val="both"/>
      </w:pPr>
      <w:r>
        <w:rPr>
          <w:rFonts w:ascii="Times New Roman" w:hAnsi="Times New Roman" w:eastAsia="Times New Roman"/>
          <w:b w:val="0"/>
          <w:i w:val="0"/>
          <w:color w:val="20252B"/>
          <w:sz w:val="20"/>
        </w:rPr>
        <w:t>Плотность потока излучения (закон Стефана — Больцмана, ε = 0,95):</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Температура радиатора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Плотность потока, Вт/м²</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для сброса 677 ГВт, км²</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 °C</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425</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1 594</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 °C</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517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1 309</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60 °C</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662</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1 022</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80 °C</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836</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809</w:t>
            </w:r>
          </w:p>
        </w:tc>
      </w:tr>
    </w:tbl>
    <w:p>
      <w:pPr>
        <w:pageBreakBefore w:val="0"/>
        <w:spacing w:after="80" w:line="269" w:lineRule="auto"/>
        <w:ind w:firstLine="709"/>
        <w:jc w:val="both"/>
      </w:pPr>
      <w:r>
        <w:rPr>
          <w:rFonts w:ascii="Times New Roman" w:hAnsi="Times New Roman" w:eastAsia="Times New Roman"/>
          <w:b w:val="0"/>
          <w:i w:val="0"/>
          <w:color w:val="20252B"/>
          <w:sz w:val="20"/>
        </w:rPr>
        <w:t>Принятое решение — сочетание трёх мер:</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Располагаемая площадь радиаторов составляет 1 477 км²; панели размещаются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Световой поток осевой балки принят на физиологически и агрономически достаточном уровне (см. п. 4.12.4), что обеспечивает требуемое освещение при согласованном энергобалансе.</w:t>
      </w:r>
    </w:p>
    <w:p>
      <w:pPr>
        <w:pStyle w:val="Caption"/>
        <w:keepNext w:val="0"/>
        <w:pageBreakBefore w:val="0"/>
        <w:spacing w:after="100" w:before="100"/>
        <w:jc w:val="center"/>
      </w:pPr>
      <w:r>
        <w:rPr>
          <w:rFonts w:ascii="Times New Roman" w:hAnsi="Times New Roman" w:eastAsia="Times New Roman"/>
          <w:b/>
          <w:i/>
          <w:color w:val="667085"/>
          <w:sz w:val="17"/>
        </w:rPr>
        <w:t>Таблица 4.3 — Площади теплоотвода</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Поверхность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км²</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Примечание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Радиаторные панели передней неподвижной рамы</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Радиаторные панели задней неподвижной рамы</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Ферменная рама и штатные панели узлов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Развёртываемые радиаторные панели на 4 узлах</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700</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Резервные радиаторные панели на неподвижных рамах</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1 477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Требуется 1 022 км², запас 1,45</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45113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9 — потребная площадь теплоотвода в зависимости от температуры радиатора</w:t>
      </w:r>
    </w:p>
    <w:p>
      <w:pPr>
        <w:pageBreakBefore w:val="0"/>
        <w:spacing w:after="80" w:line="269" w:lineRule="auto"/>
        <w:ind w:firstLine="397"/>
        <w:jc w:val="both"/>
      </w:pPr>
      <w:r>
        <w:rPr>
          <w:rFonts w:ascii="Times New Roman" w:hAnsi="Times New Roman" w:eastAsia="Times New Roman"/>
          <w:b w:val="0"/>
          <w:i w:val="0"/>
          <w:color w:val="20252B"/>
          <w:sz w:val="2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pageBreakBefore w:val="0"/>
        <w:spacing w:after="80" w:line="269" w:lineRule="auto"/>
        <w:ind w:firstLine="397"/>
        <w:jc w:val="both"/>
      </w:pPr>
      <w:r>
        <w:rPr>
          <w:rFonts w:ascii="Times New Roman" w:hAnsi="Times New Roman" w:eastAsia="Times New Roman"/>
          <w:b w:val="0"/>
          <w:i w:val="0"/>
          <w:color w:val="20252B"/>
          <w:sz w:val="2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pageBreakBefore w:val="0"/>
        <w:spacing w:after="80" w:line="269" w:lineRule="auto"/>
        <w:ind w:firstLine="709"/>
        <w:jc w:val="both"/>
      </w:pPr>
      <w:r>
        <w:rPr>
          <w:rFonts w:ascii="Times New Roman" w:hAnsi="Times New Roman" w:eastAsia="Times New Roman"/>
          <w:b w:val="0"/>
          <w:i w:val="0"/>
          <w:color w:val="20252B"/>
          <w:sz w:val="20"/>
        </w:rPr>
        <w:t>Средства терморегуляции внутри цилиндров включают:</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Жидкометаллический теплоноситель (сплав натрий–калий) в зональных контурах.</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Теплоизолирующие перегородки на границах климатических зон (10, 22, 32 км).</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pStyle w:val="Heading2"/>
        <w:keepNext/>
        <w:pageBreakBefore w:val="0"/>
        <w:spacing w:after="40"/>
        <w:jc w:val="left"/>
      </w:pPr>
      <w:r>
        <w:rPr>
          <w:rFonts w:ascii="Times New Roman" w:hAnsi="Times New Roman" w:eastAsia="Times New Roman"/>
          <w:b/>
          <w:i w:val="0"/>
          <w:color w:val="2F5D83"/>
          <w:sz w:val="25"/>
        </w:rPr>
        <w:t>4.5. Радиационная защита</w:t>
      </w:r>
    </w:p>
    <w:p>
      <w:pPr>
        <w:pageBreakBefore w:val="0"/>
        <w:spacing w:after="80" w:line="269" w:lineRule="auto"/>
        <w:ind w:firstLine="397"/>
        <w:jc w:val="both"/>
      </w:pPr>
      <w:r>
        <w:rPr>
          <w:rFonts w:ascii="Times New Roman" w:hAnsi="Times New Roman" w:eastAsia="Times New Roman"/>
          <w:b w:val="0"/>
          <w:i w:val="0"/>
          <w:color w:val="20252B"/>
          <w:sz w:val="2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pageBreakBefore w:val="0"/>
        <w:spacing w:after="80" w:line="269" w:lineRule="auto"/>
        <w:ind w:firstLine="397"/>
        <w:jc w:val="both"/>
      </w:pPr>
      <w:r>
        <w:rPr>
          <w:rFonts w:ascii="Times New Roman" w:hAnsi="Times New Roman" w:eastAsia="Times New Roman"/>
          <w:b w:val="0"/>
          <w:i w:val="0"/>
          <w:color w:val="20252B"/>
          <w:sz w:val="2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pageBreakBefore w:val="0"/>
        <w:spacing w:after="80" w:line="269" w:lineRule="auto"/>
        <w:ind w:firstLine="397"/>
        <w:jc w:val="both"/>
      </w:pPr>
      <w:r>
        <w:rPr>
          <w:rFonts w:ascii="Times New Roman" w:hAnsi="Times New Roman" w:eastAsia="Times New Roman"/>
          <w:b w:val="0"/>
          <w:i w:val="0"/>
          <w:color w:val="20252B"/>
          <w:sz w:val="2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pStyle w:val="Heading2"/>
        <w:keepNext/>
        <w:pageBreakBefore w:val="0"/>
        <w:spacing w:after="40"/>
        <w:jc w:val="left"/>
      </w:pPr>
      <w:r>
        <w:rPr>
          <w:rFonts w:ascii="Times New Roman" w:hAnsi="Times New Roman" w:eastAsia="Times New Roman"/>
          <w:b/>
          <w:i w:val="0"/>
          <w:color w:val="2F5D83"/>
          <w:sz w:val="25"/>
        </w:rPr>
        <w:t>4.6. Место размещения станции (точка Лагранжа L1 Земля — Солнце)</w:t>
      </w:r>
    </w:p>
    <w:p>
      <w:pPr>
        <w:pageBreakBefore w:val="0"/>
        <w:spacing w:after="80" w:line="269" w:lineRule="auto"/>
        <w:ind w:firstLine="397"/>
        <w:jc w:val="both"/>
      </w:pPr>
      <w:r>
        <w:rPr>
          <w:rFonts w:ascii="Times New Roman" w:hAnsi="Times New Roman" w:eastAsia="Times New Roman"/>
          <w:b w:val="0"/>
          <w:i w:val="0"/>
          <w:color w:val="20252B"/>
          <w:sz w:val="20"/>
        </w:rPr>
        <w:t>Финальным местом постоянного размещения станции выбрана первая точка Лагранжа L1 системы Земля — Солнце. L1 неустойчива, поэтому станция использует постоянно действующую установку удержания; её проект и ресурсное обеспечение приведены в п. 11.5.</w:t>
      </w:r>
    </w:p>
    <w:p>
      <w:pPr>
        <w:pStyle w:val="Caption"/>
        <w:keepNext w:val="0"/>
        <w:pageBreakBefore w:val="0"/>
        <w:spacing w:after="100" w:before="100"/>
        <w:jc w:val="center"/>
      </w:pPr>
      <w:r>
        <w:rPr>
          <w:rFonts w:ascii="Times New Roman" w:hAnsi="Times New Roman" w:eastAsia="Times New Roman"/>
          <w:b/>
          <w:i/>
          <w:color w:val="667085"/>
          <w:sz w:val="17"/>
        </w:rPr>
        <w:t>Таблица 4.13 — Преимущества размещения в точке L1 Земля — Солнце</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Преимущество</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Описание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Доступ к солнечной энергии для вспомогательных систем</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Надёжная связь с Землёй</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Прямая видимость, задержка 5,0 с в одну сторону и около 10,0 с при круговом обмене.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Транспортная доступность</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Расстояние 1,5 млн км преодолевается за несколько дней; это логистическое преимущество, не ресурсная причина выбора.</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Стабильные условия освещения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Радиационная обстановка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pageBreakBefore w:val="0"/>
        <w:spacing w:after="80" w:line="269" w:lineRule="auto"/>
        <w:ind w:firstLine="397"/>
        <w:jc w:val="both"/>
      </w:pPr>
      <w:r>
        <w:rPr>
          <w:rFonts w:ascii="Times New Roman" w:hAnsi="Times New Roman" w:eastAsia="Times New Roman"/>
          <w:b w:val="0"/>
          <w:i w:val="0"/>
          <w:color w:val="20252B"/>
          <w:sz w:val="20"/>
        </w:rPr>
        <w:t>Для удержания станции в L1 принят реголит как рабочее тело масс-драйверной/ионной установки. При скорости истечения 30 км/с расход составляет около 8 524 т в сутки; ксенон для такого расхода неприемлем, поэтому используется доступное астероидное сырьё.</w:t>
      </w:r>
    </w:p>
    <w:p>
      <w:pPr>
        <w:pStyle w:val="Heading2"/>
        <w:keepNext/>
        <w:pageBreakBefore w:val="0"/>
        <w:spacing w:after="40"/>
        <w:jc w:val="left"/>
      </w:pPr>
      <w:r>
        <w:rPr>
          <w:rFonts w:ascii="Times New Roman" w:hAnsi="Times New Roman" w:eastAsia="Times New Roman"/>
          <w:b/>
          <w:i w:val="0"/>
          <w:color w:val="2F5D83"/>
          <w:sz w:val="25"/>
        </w:rPr>
        <w:t>4.7. Стыковка космических аппаратов и переход на вращающуюся поверхность</w:t>
      </w:r>
    </w:p>
    <w:p>
      <w:pPr>
        <w:pageBreakBefore w:val="0"/>
        <w:spacing w:after="80" w:line="269" w:lineRule="auto"/>
        <w:ind w:firstLine="397"/>
        <w:jc w:val="both"/>
      </w:pPr>
      <w:r>
        <w:rPr>
          <w:rFonts w:ascii="Times New Roman" w:hAnsi="Times New Roman" w:eastAsia="Times New Roman"/>
          <w:b w:val="0"/>
          <w:i w:val="0"/>
          <w:color w:val="20252B"/>
          <w:sz w:val="2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Стыковка корабля со станцией — выполняется на неподвижной раме при нулевой относительной скорости.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Переход человека или груза с оси на вращающуюся поверхность — отдельная транспортная задача, решаемая внутренними средствами станции.</w:t>
      </w:r>
    </w:p>
    <w:p>
      <w:pPr>
        <w:pStyle w:val="Heading3"/>
        <w:keepNext/>
        <w:pageBreakBefore w:val="0"/>
        <w:spacing w:after="40"/>
        <w:jc w:val="left"/>
      </w:pPr>
      <w:r>
        <w:rPr>
          <w:rFonts w:ascii="Times New Roman" w:hAnsi="Times New Roman" w:eastAsia="Times New Roman"/>
          <w:b/>
          <w:i w:val="0"/>
          <w:color w:val="B56B3C"/>
          <w:sz w:val="22"/>
        </w:rPr>
        <w:t>4.7.1. Распределение скоростей внутри станции</w:t>
      </w:r>
    </w:p>
    <w:p>
      <w:pPr>
        <w:pageBreakBefore w:val="0"/>
        <w:spacing w:after="80" w:line="269" w:lineRule="auto"/>
        <w:ind w:firstLine="397"/>
        <w:jc w:val="both"/>
      </w:pPr>
      <w:r>
        <w:rPr>
          <w:rFonts w:ascii="Times New Roman" w:hAnsi="Times New Roman" w:eastAsia="Times New Roman"/>
          <w:b w:val="0"/>
          <w:i w:val="0"/>
          <w:color w:val="20252B"/>
          <w:sz w:val="20"/>
        </w:rPr>
        <w:t>Линейная скорость точки пропорциональна расстоянию от оси вращения, поэтому вблизи оси движение практически отсутствует.</w:t>
      </w:r>
    </w:p>
    <w:p>
      <w:pPr>
        <w:pStyle w:val="Caption"/>
        <w:keepNext w:val="0"/>
        <w:pageBreakBefore w:val="0"/>
        <w:spacing w:after="100" w:before="100"/>
        <w:jc w:val="center"/>
      </w:pPr>
      <w:r>
        <w:rPr>
          <w:rFonts w:ascii="Times New Roman" w:hAnsi="Times New Roman" w:eastAsia="Times New Roman"/>
          <w:b/>
          <w:i/>
          <w:color w:val="667085"/>
          <w:sz w:val="17"/>
        </w:rPr>
        <w:t>Таблица 4.8 — Скорости и ускорения по радиусу</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Расстояние от оси</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Линейная скорость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Ускорение</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Характеристика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м (жилая поверхность)</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221,5 м/с (797 км/ч)</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1,000 g</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Стыковка невозможна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2 500 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110,7 м/с (399 км/ч)</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0,500 g</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Стыковка невозможна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1 000 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44,3 м/с (159 км/ч)</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0,200 g</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Стыковка невозможна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4,4 м/с (16 км/ч)</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0,020 g</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Технически возможна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м (причальное кольцо)</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0,44 м/с (1,6 км/ч)</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0,002 g</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Скорость пешехода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 м (ось)</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Полная неподвижность</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41945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10 — окружная скорость и возможность стыковки</w:t>
      </w:r>
    </w:p>
    <w:p>
      <w:pPr>
        <w:pStyle w:val="Heading3"/>
        <w:keepNext/>
        <w:pageBreakBefore w:val="0"/>
        <w:spacing w:after="40"/>
        <w:jc w:val="left"/>
      </w:pPr>
      <w:r>
        <w:rPr>
          <w:rFonts w:ascii="Times New Roman" w:hAnsi="Times New Roman" w:eastAsia="Times New Roman"/>
          <w:b/>
          <w:i w:val="0"/>
          <w:color w:val="B56B3C"/>
          <w:sz w:val="22"/>
        </w:rPr>
        <w:t>4.7.2. Штатная схема: причал на неподвижной раме</w:t>
      </w:r>
    </w:p>
    <w:p>
      <w:pPr>
        <w:pageBreakBefore w:val="0"/>
        <w:spacing w:after="80" w:line="269" w:lineRule="auto"/>
        <w:ind w:firstLine="397"/>
        <w:jc w:val="both"/>
      </w:pPr>
      <w:r>
        <w:rPr>
          <w:rFonts w:ascii="Times New Roman" w:hAnsi="Times New Roman" w:eastAsia="Times New Roman"/>
          <w:b w:val="0"/>
          <w:i w:val="0"/>
          <w:color w:val="20252B"/>
          <w:sz w:val="20"/>
        </w:rPr>
        <w:t>Согласно конструкции, каждый цилиндр опирается на два внешних неподвижных рамных узла — передний и задний — через осевую цапфу и подшипниковый корпус. Передняя рама каждого цилиндра является отдельной: она не образует продольного моста между цилиндрами, а пространство между боковыми оболочками вдоль цилиндрических частей остаётся пустым. На передней раме размещаются модули стыковки; от каждого модуля до карантинного контура идёт собственный герметичный канал. Эти входные каналы до карантина между собой не соединяются.</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pageBreakBefore w:val="0"/>
        <w:spacing w:after="80" w:line="269" w:lineRule="auto"/>
        <w:ind w:firstLine="709"/>
        <w:jc w:val="both"/>
      </w:pPr>
      <w:r>
        <w:rPr>
          <w:rFonts w:ascii="Times New Roman" w:hAnsi="Times New Roman" w:eastAsia="Times New Roman"/>
          <w:b w:val="0"/>
          <w:i w:val="0"/>
          <w:color w:val="20252B"/>
          <w:sz w:val="20"/>
        </w:rPr>
        <w:t>Состав причального комплекса: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Грузовые терминалы с механизмами перегрузки размещены на передней раме и не передают нагрузку на вращающуюся оболочку.</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Пассажирские шлюзы передней неподвижной рамы переходят в отдельные герметичные каналы карантинного контура. После карантина четыре входных потока не продолжаются четырьмя линиями через ось: они собираются в один общий чистый канал в отдельной герметичной распределительной камере. Этот один канал проходит через неподвижную камеру переднего подшипникового корпуса и через коаксиальный вращающийся гермопереход (герметичный стык) входит в полую ось. Ось приварена к цилиндру; ротор подшипника, ось и цилиндр вращаются как единый узел, а корпус и статор подшипника остаются на неподвижной раме. В передней полусфере общий канал снова входит в распределительную камеру и разделяется на четыре отдельных канала: А↑, А↓, Б↑ и Б↓. Межцилиндровых тоннелей нет.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Резервные причальные места также находятся на передней раме и являются дублированием основного комплекса. Коридоры А и Б взаимно резервируют друг друга; задняя рама предназначена для антенн, радиаторов, солнечных крыльев и двигательных модулей и не является пассажирским входом.</w:t>
      </w:r>
    </w:p>
    <w:p>
      <w:pPr>
        <w:pStyle w:val="Heading3"/>
        <w:keepNext/>
        <w:pageBreakBefore w:val="0"/>
        <w:spacing w:after="40"/>
        <w:jc w:val="left"/>
      </w:pPr>
      <w:r>
        <w:rPr>
          <w:rFonts w:ascii="Times New Roman" w:hAnsi="Times New Roman"/>
        </w:rPr>
        <w:t>4.7.3. Подшипниковый узел как элемент транспортной системы</w:t>
      </w:r>
    </w:p>
    <w:p>
      <w:pPr>
        <w:pageBreakBefore w:val="0"/>
        <w:spacing w:after="80" w:line="269" w:lineRule="auto"/>
        <w:ind w:firstLine="397"/>
        <w:jc w:val="both"/>
      </w:pPr>
      <w:r>
        <w:rPr>
          <w:rFonts w:ascii="Times New Roman" w:hAnsi="Times New Roman" w:eastAsia="Times New Roman"/>
          <w:b w:val="0"/>
          <w:i w:val="0"/>
          <w:color w:val="20252B"/>
          <w:sz w:val="20"/>
        </w:rPr>
        <w:t>Через передний подшипниковый узел проходит не открытый проём и не боковой канал. После карантина общий чистый транспортный путь подходит к торцу оси строго по общей оси вращения. В подшипниковом узле неподвижный корпус и статор окружают вращающийся ротор и приваренную к нему полую ось. На торце оси расположен коаксиальный роторный герметичный шлюз. Через полость оси проходит один общий канал чистым диаметром 8,0 м; разделение на А↑, А↓, Б↑ и Б↓ происходит только после входа в переднюю полусферу.</w:t>
      </w:r>
    </w:p>
    <w:p>
      <w:pPr>
        <w:pageBreakBefore w:val="0"/>
        <w:spacing w:after="80" w:line="269" w:lineRule="auto"/>
        <w:ind w:firstLine="397"/>
        <w:jc w:val="both"/>
      </w:pPr>
      <w:r>
        <w:rPr>
          <w:rFonts w:ascii="Times New Roman" w:hAnsi="Times New Roman" w:eastAsia="Times New Roman"/>
          <w:b w:val="0"/>
          <w:i w:val="0"/>
          <w:color w:val="20252B"/>
          <w:sz w:val="20"/>
        </w:rPr>
        <w:t>Опорный узел выполняется как активный магнитный радиально-осевой подшипник с механическими аварийными ловителями. В каждом из четырёх торцевых узлов размещаются два независимых магнитных контура, датчики положения и охлаждаемые силовые модули. Средний диаметр активного кольца — 400 м, осевая активная ширина — 3,0 м. Статор и силовая электроника закреплены на неподвижной раме; ротор подшипника, осевая цапфа, полая ось и цилиндр соединены в один вращающийся узел. Подшипник не является транспортной трубой: он поддерживает ось, а транспортный путь проходит внутри её полости. Ловители являются аварийной, а не штатной опорой.</w:t>
      </w:r>
    </w:p>
    <w:p>
      <w:pPr>
        <w:pageBreakBefore w:val="0"/>
        <w:spacing w:after="80" w:line="269" w:lineRule="auto"/>
        <w:ind w:firstLine="397"/>
        <w:jc w:val="both"/>
      </w:pPr>
      <w:r>
        <w:rPr>
          <w:rFonts w:ascii="Times New Roman" w:hAnsi="Times New Roman" w:eastAsia="Times New Roman"/>
          <w:b w:val="0"/>
          <w:i w:val="0"/>
          <w:color w:val="20252B"/>
          <w:sz w:val="2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Диаметр опорного кольца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опоры (ширина 3 м)</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Контактное давление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471 м²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21,2 МПа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942 м²</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10,6 МПа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1 885 м²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5,3 МПа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3 770 м²</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2,7 МПа</w:t>
            </w:r>
          </w:p>
        </w:tc>
      </w:tr>
    </w:tbl>
    <w:p>
      <w:pPr>
        <w:pageBreakBefore w:val="0"/>
        <w:spacing w:after="80" w:line="269" w:lineRule="auto"/>
        <w:ind w:firstLine="397"/>
        <w:jc w:val="both"/>
      </w:pPr>
      <w:r>
        <w:rPr>
          <w:rFonts w:ascii="Times New Roman" w:hAnsi="Times New Roman" w:eastAsia="Times New Roman"/>
          <w:b w:val="0"/>
          <w:i w:val="0"/>
          <w:color w:val="20252B"/>
          <w:sz w:val="20"/>
        </w:rPr>
        <w:t>Предварительно принимается диаметр активного опорного кольца 400 м при ширине 3 м. Два независимых активных пояса имеют по 1,35 м рабочей ширины и разделены сервисной зоной около 0,30 м. Рабочий радиальный зазор принимается 50 мм, осевой — 30 мм до отдельного динамического расчёта. При осевом распоре 10¹⁰ Н среднее расчётное давление кольца составляет около 2,65 МПа. Кольцо находится внутри неподвижного торцевого корпуса и не является наружным ребром цилиндра.</w:t>
      </w:r>
    </w:p>
    <w:p>
      <w:pPr>
        <w:pageBreakBefore w:val="0"/>
        <w:spacing w:after="80" w:line="269" w:lineRule="auto"/>
        <w:ind w:firstLine="397"/>
        <w:jc w:val="both"/>
      </w:pPr>
      <w:r>
        <w:rPr>
          <w:rFonts w:ascii="Times New Roman" w:hAnsi="Times New Roman" w:eastAsia="Times New Roman"/>
          <w:b w:val="0"/>
          <w:i w:val="0"/>
          <w:color w:val="20252B"/>
          <w:sz w:val="20"/>
        </w:rPr>
        <w:t>Герметизация вращающегося стыка между неподвижной рамой и торцом полой оси обеспечивается трёхконтурной системой. Основной барьер — сегментированное вращающееся торцевое уплотнение вокруг роторного торца оси; контрольный барьер — сухой лабиринт с откачиваемой межбарьерной полостью; технический барьер — вспомогательные уплотнения приводов и датчиков. Магнитожидкостное уплотнение не является единственным барьером, удерживающим атмосферу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До карантина четыре модуля стыковки имеют четыре раздельных герметичных канала и собственные входные двери. После карантина чистые потоки поочерёдно допускаются в один общий канал и одну общую осевую трассу. Перед торцом оси размещаются неподвижная камера F0, контролируемый промежуточный объём и вращающаяся дверь R0. После выравнивания давления кабина фиксируется в приёмной тележке, механически связанной с полой осью, и входит в один общий вращающийся канал. Только в передней полусфере общий путь поступает в распределительную камеру и разделяется на четыре отдельные линии А↑, А↓, Б↑ и Б↓. Одновременно открывается только одна граница; при росте утечки двери по обе стороны вращающегося барьера закрываются автоматически.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Вращающаяся приёмная тележка не является отдельным роторным причалом и не отделена от оси. Она закреплена на роторе полой оси и вращается с той же угловой скоростью, что ось и цилиндр. Кабина после карантина входит в неподвижную передаточную камеру, фиксируется направляющими и замками в роторной тележке, затем плавно доводится до 0,423 об/мин. После синхронизации открывается роторная дверь в общий осевой канал. На краю кабины Ø7 м окружная скорость составляет около 0,56 км/ч; скорость 797 км/ч относится только к жилой поверхности радиусом 5 000 м.</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Транспортное сообщение начинается четырьмя отдельными каналами от модулей стыковки до карантина. После карантина потоки переходят в один общий герметичный канал, который проходит через роторный стык и полую ось. В передней полусфере общий канал разделяется на четыре отдельные линии А↑, А↓, Б↑ и Б↓. Межцилиндровых тоннелей нет; каждая ветвь после распределительной камеры принадлежит только своему цилиндру. При неисправности участок между гермодверями отсекается, поэтому потеря одного уплотнения не разгерметизирует цилиндр.</w:t>
      </w:r>
    </w:p>
    <w:p>
      <w:pPr>
        <w:pageBreakBefore w:val="0"/>
        <w:spacing w:after="80" w:line="269" w:lineRule="auto"/>
        <w:ind w:firstLine="397"/>
        <w:jc w:val="both"/>
      </w:pPr>
      <w:r>
        <w:rPr>
          <w:rFonts w:ascii="Times New Roman" w:hAnsi="Times New Roman" w:eastAsia="Times New Roman"/>
          <w:b w:val="0"/>
          <w:i w:val="0"/>
          <w:color w:val="20252B"/>
          <w:sz w:val="2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 спуска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Максимальная радиальная скорость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Ускорение Кориолиса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минут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33,3 м/с</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2,95 м/с² (0,301 g) вбок</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минут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16,7 м/с</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1,48 м/с² (0,150 g) вбок</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минут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11,1 м/с</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0,98 м/с² (0,100 g) вбок</w:t>
            </w:r>
          </w:p>
        </w:tc>
      </w:tr>
    </w:tbl>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Расстояние от оси</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Местная тяжесть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Отклонение кажущейся вертикали</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8,6°</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4 000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0,800 g</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10,7°</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14,1°</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2 000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0,400 g</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20,6°</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1 000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0,200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37,0°</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0,100 g</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56,4°</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0,020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82,4°</w:t>
            </w:r>
          </w:p>
        </w:tc>
      </w:tr>
    </w:tbl>
    <w:p>
      <w:pPr>
        <w:pStyle w:val="Heading3"/>
        <w:keepNext/>
        <w:pageBreakBefore w:val="0"/>
        <w:spacing w:after="40"/>
        <w:jc w:val="left"/>
      </w:pPr>
      <w:r>
        <w:rPr>
          <w:rFonts w:ascii="Times New Roman" w:hAnsi="Times New Roman"/>
        </w:rPr>
        <w:t>4.7.4. Наклонная шахта: быстрый переход без карданного подвеса</w:t>
      </w:r>
    </w:p>
    <w:p>
      <w:pPr>
        <w:pageBreakBefore w:val="0"/>
        <w:spacing w:after="80" w:line="269" w:lineRule="auto"/>
        <w:ind w:firstLine="397"/>
        <w:jc w:val="both"/>
      </w:pPr>
      <w:r>
        <w:rPr>
          <w:rFonts w:ascii="Times New Roman" w:hAnsi="Times New Roman" w:eastAsia="Times New Roman"/>
          <w:b w:val="0"/>
          <w:i w:val="0"/>
          <w:color w:val="20252B"/>
          <w:sz w:val="2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pStyle w:val="Heading3"/>
        <w:pageBreakBefore w:val="0"/>
        <w:spacing w:after="80" w:line="269" w:lineRule="auto"/>
        <w:ind w:firstLine="709"/>
        <w:jc w:val="both"/>
      </w:pPr>
      <w:r>
        <w:rPr>
          <w:rFonts w:ascii="Times New Roman" w:hAnsi="Times New Roman" w:eastAsia="Times New Roman"/>
          <w:b w:val="0"/>
          <w:i w:val="0"/>
          <w:color w:val="20252B"/>
          <w:sz w:val="20"/>
        </w:rPr>
        <w:t>Работа подъёма</w:t>
      </w:r>
    </w:p>
    <w:p>
      <w:pPr>
        <w:pageBreakBefore w:val="0"/>
        <w:spacing w:after="80" w:line="269" w:lineRule="auto"/>
        <w:ind w:firstLine="397"/>
        <w:jc w:val="both"/>
      </w:pPr>
      <w:r>
        <w:rPr>
          <w:rFonts w:ascii="Times New Roman" w:hAnsi="Times New Roman" w:eastAsia="Times New Roman"/>
          <w:b w:val="0"/>
          <w:i w:val="0"/>
          <w:color w:val="20252B"/>
          <w:sz w:val="2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pageBreakBefore w:val="0"/>
        <w:spacing w:after="80" w:line="269" w:lineRule="auto"/>
        <w:ind w:firstLine="397"/>
        <w:jc w:val="both"/>
      </w:pPr>
      <w:r>
        <w:rPr>
          <w:rFonts w:ascii="Times New Roman" w:hAnsi="Times New Roman" w:eastAsia="Times New Roman"/>
          <w:b w:val="0"/>
          <w:i w:val="0"/>
          <w:color w:val="20252B"/>
          <w:sz w:val="2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pageBreakBefore w:val="0"/>
        <w:spacing w:after="80" w:line="269" w:lineRule="auto"/>
        <w:ind w:firstLine="397"/>
        <w:jc w:val="both"/>
      </w:pPr>
      <w:r>
        <w:rPr>
          <w:rFonts w:ascii="Times New Roman" w:hAnsi="Times New Roman" w:eastAsia="Times New Roman"/>
          <w:b w:val="0"/>
          <w:i w:val="0"/>
          <w:color w:val="20252B"/>
          <w:sz w:val="2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pStyle w:val="Caption"/>
        <w:keepNext w:val="0"/>
        <w:pageBreakBefore w:val="0"/>
        <w:spacing w:after="100" w:before="100"/>
        <w:jc w:val="center"/>
      </w:pPr>
      <w:r>
        <w:rPr>
          <w:rFonts w:ascii="Times New Roman" w:hAnsi="Times New Roman" w:eastAsia="Times New Roman"/>
          <w:b/>
          <w:i/>
          <w:color w:val="667085"/>
          <w:sz w:val="17"/>
        </w:rPr>
        <w:t>Таблица 4.9 — Распределение работы подъёма по участкам пути</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Участок</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Тяжесть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Работа, Дж/кг</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Эквивалент на Земле</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 4 км от оси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 0,80 g</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8 827</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36,0 %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900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 3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0,80 → 0,60 g</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6 866</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28,0 %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700 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 2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 → 0,40 g</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4 904</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 1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0,40 → 0,20 g</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2 942</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 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 0 км (ось)</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0,20 → 0 g</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981</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24 520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2 499 м</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0" cy="2598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11 — работа подъёма по участкам и наклон кажущейся вертикали</w:t>
      </w:r>
    </w:p>
    <w:p>
      <w:pPr>
        <w:pageBreakBefore w:val="0"/>
        <w:spacing w:after="80" w:line="269" w:lineRule="auto"/>
        <w:ind w:firstLine="397"/>
        <w:jc w:val="both"/>
      </w:pPr>
      <w:r>
        <w:rPr>
          <w:rFonts w:ascii="Times New Roman" w:hAnsi="Times New Roman" w:eastAsia="Times New Roman"/>
          <w:b w:val="0"/>
          <w:i w:val="0"/>
          <w:color w:val="20252B"/>
          <w:sz w:val="2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pStyle w:val="Heading3"/>
        <w:pageBreakBefore w:val="0"/>
        <w:spacing w:after="80" w:line="269" w:lineRule="auto"/>
        <w:ind w:firstLine="709"/>
        <w:jc w:val="both"/>
      </w:pPr>
      <w:r>
        <w:rPr>
          <w:rFonts w:ascii="Times New Roman" w:hAnsi="Times New Roman" w:eastAsia="Times New Roman"/>
          <w:b w:val="0"/>
          <w:i w:val="0"/>
          <w:color w:val="20252B"/>
          <w:sz w:val="20"/>
        </w:rPr>
        <w:t>Ускорение Кориолиса и условие постоянного наклона</w:t>
      </w:r>
    </w:p>
    <w:p>
      <w:pPr>
        <w:pageBreakBefore w:val="0"/>
        <w:spacing w:after="80" w:line="269" w:lineRule="auto"/>
        <w:ind w:firstLine="397"/>
        <w:jc w:val="both"/>
      </w:pPr>
      <w:r>
        <w:rPr>
          <w:rFonts w:ascii="Times New Roman" w:hAnsi="Times New Roman" w:eastAsia="Times New Roman"/>
          <w:b w:val="0"/>
          <w:i w:val="0"/>
          <w:color w:val="20252B"/>
          <w:sz w:val="2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Способ перемещения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Радиальная скорость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Ускорение Кориолиса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 долях 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Лифт, спуск за 5 минут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33,3 м/с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2,950 м/с²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0,301 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Лифт, спуск за 10 минут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16,7 м/с</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1,479 м/с²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0,151 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Фуникулёр, 30 минут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2,78 м/с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0,246 м/с²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0,025 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Бег по лестнице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м/с</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0,177 м/с²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0,018 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Быстрый шаг</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0,7 м/с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0,062 м/с²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0,006 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Спокойный шаг</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 м/с</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0,035 м/с²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0,004 g</w:t>
            </w:r>
          </w:p>
        </w:tc>
      </w:tr>
    </w:tbl>
    <w:p>
      <w:pPr>
        <w:pageBreakBefore w:val="0"/>
        <w:spacing w:after="80" w:line="269" w:lineRule="auto"/>
        <w:ind w:firstLine="397"/>
        <w:jc w:val="both"/>
      </w:pPr>
      <w:r>
        <w:rPr>
          <w:rFonts w:ascii="Times New Roman" w:hAnsi="Times New Roman" w:eastAsia="Times New Roman"/>
          <w:b w:val="0"/>
          <w:i w:val="0"/>
          <w:color w:val="20252B"/>
          <w:sz w:val="20"/>
        </w:rPr>
        <w:t>При законе движения v(r) =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pageBreakBefore w:val="0"/>
        <w:spacing w:after="80" w:line="269" w:lineRule="auto"/>
        <w:ind w:firstLine="397"/>
        <w:jc w:val="both"/>
      </w:pPr>
      <w:r>
        <w:rPr>
          <w:rFonts w:ascii="Times New Roman" w:hAnsi="Times New Roman"/>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4.7.4). Постоянство наклона заменяет механизм геометрией.</w:t>
      </w:r>
    </w:p>
    <w:p>
      <w:pPr>
        <w:pStyle w:val="Heading3"/>
        <w:pageBreakBefore w:val="0"/>
        <w:spacing w:after="80" w:line="269" w:lineRule="auto"/>
        <w:ind w:firstLine="709"/>
        <w:jc w:val="both"/>
      </w:pPr>
      <w:r>
        <w:rPr>
          <w:rFonts w:ascii="Times New Roman" w:hAnsi="Times New Roman" w:eastAsia="Times New Roman"/>
          <w:b w:val="0"/>
          <w:i w:val="0"/>
          <w:color w:val="20252B"/>
          <w:sz w:val="20"/>
        </w:rPr>
        <w:t>Геометрия лестничного восхождения</w:t>
      </w:r>
    </w:p>
    <w:p>
      <w:pPr>
        <w:pageBreakBefore w:val="0"/>
        <w:spacing w:after="80" w:line="269" w:lineRule="auto"/>
        <w:ind w:firstLine="397"/>
        <w:jc w:val="both"/>
      </w:pPr>
      <w:r>
        <w:rPr>
          <w:rFonts w:ascii="Times New Roman" w:hAnsi="Times New Roman" w:eastAsia="Times New Roman"/>
          <w:b w:val="0"/>
          <w:i w:val="0"/>
          <w:color w:val="20252B"/>
          <w:sz w:val="20"/>
        </w:rPr>
        <w:t>Лестница в проекте не применяется: для осевой шахты требуется средство, одновременно быстрое и безопасное. Вход выполняется через наклонную шахту; это устраняет необходимость в карданном подвесе для скоростного лифта.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Поэтому наклонная шахта имеет пол, установленный с постоянным расчётным отклонением: подвес не требуется, а пассажир всю дорогу ощущает тяжесть строго «в пол».</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Условие постоянства наклона θ даёт закон движения v(r) = :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pStyle w:val="Heading3"/>
        <w:pageBreakBefore w:val="0"/>
        <w:spacing w:after="80" w:line="269" w:lineRule="auto"/>
        <w:ind w:firstLine="709"/>
        <w:jc w:val="both"/>
      </w:pPr>
      <w:r>
        <w:rPr>
          <w:rFonts w:ascii="Times New Roman" w:hAnsi="Times New Roman" w:eastAsia="Times New Roman"/>
          <w:b w:val="0"/>
          <w:i w:val="0"/>
          <w:color w:val="20252B"/>
          <w:sz w:val="20"/>
        </w:rPr>
        <w:t>Требования безопасности</w:t>
      </w:r>
    </w:p>
    <w:p>
      <w:pPr>
        <w:pageBreakBefore w:val="0"/>
        <w:spacing w:after="80" w:line="269" w:lineRule="auto"/>
        <w:ind w:firstLine="397"/>
        <w:jc w:val="both"/>
      </w:pPr>
      <w:r>
        <w:rPr>
          <w:rFonts w:ascii="Times New Roman" w:hAnsi="Times New Roman" w:eastAsia="Times New Roman"/>
          <w:b w:val="0"/>
          <w:i w:val="0"/>
          <w:color w:val="20252B"/>
          <w:sz w:val="2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Место срыва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 падения до поверхности</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Скорость соударения</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r = 2 500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39 с</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192 м/с (690 км/ч)</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r = 1 000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111 с</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217 м/с (781 км/ч)</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r &lt; 100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достигает поверхности длительное время</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pStyle w:val="Heading3"/>
        <w:pageBreakBefore w:val="0"/>
        <w:spacing w:after="80" w:line="269" w:lineRule="auto"/>
        <w:ind w:firstLine="709"/>
        <w:jc w:val="both"/>
      </w:pPr>
      <w:r>
        <w:rPr>
          <w:rFonts w:ascii="Times New Roman" w:hAnsi="Times New Roman" w:eastAsia="Times New Roman"/>
          <w:b w:val="0"/>
          <w:i w:val="0"/>
          <w:color w:val="20252B"/>
          <w:sz w:val="20"/>
        </w:rPr>
        <w:t>Сравнение способов перехода</w:t>
      </w:r>
    </w:p>
    <w:p>
      <w:pPr>
        <w:pStyle w:val="Caption"/>
        <w:keepNext w:val="0"/>
        <w:pageBreakBefore w:val="0"/>
        <w:spacing w:after="100" w:before="100"/>
        <w:jc w:val="center"/>
      </w:pPr>
      <w:r>
        <w:rPr>
          <w:rFonts w:ascii="Times New Roman" w:hAnsi="Times New Roman" w:eastAsia="Times New Roman"/>
          <w:b/>
          <w:i/>
          <w:color w:val="667085"/>
          <w:sz w:val="17"/>
        </w:rPr>
        <w:t>Таблица 4.10 — Сопоставление средств перехода с оси на поверхность</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Способ</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Кориолис</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Спецустройства</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Энергия</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Назначение</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Скоростной лифт прямой</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мин</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0,151 g</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Карданный подвес</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Высокая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принят: подвес — точка отказа</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Фуникулёр по склону</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30–40 мин</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0,019–0,025 g</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Не требуются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Умеренная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Дублирующий независимый маршрут</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Наклонная шахта, θ = 10°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17,8 мин</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0,015 g</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требуются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Умеренная, с рекуперацией</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Основное средство, пассажиры и грузы</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Свободный полёт</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Поручни</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Нулевая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Приосевая зона r &lt; 100 м</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00000" cy="284565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12 — ускорение Кориолиса при разных способах перехода «ось — обод»</w:t>
      </w:r>
    </w:p>
    <w:p>
      <w:pPr>
        <w:pageBreakBefore w:val="0"/>
        <w:spacing w:after="80" w:line="269" w:lineRule="auto"/>
        <w:ind w:firstLine="397"/>
        <w:jc w:val="both"/>
      </w:pPr>
      <w:r>
        <w:rPr>
          <w:rFonts w:ascii="Times New Roman" w:hAnsi="Times New Roman" w:eastAsia="Times New Roman"/>
          <w:b w:val="0"/>
          <w:i w:val="0"/>
          <w:color w:val="20252B"/>
          <w:sz w:val="20"/>
        </w:rPr>
        <w:t>Принятое решение — один общий осевой транспортный канал после карантина и две отдельные наклонные шахты в передней полусфере. После распределительной камеры общий путь разделяется на четыре герметичные линии: А↑, А↓, Б↑ и Б↓. От переднего интерфейса до точки разделения в полусфере идёт защищённый осевой участок около 2 506 м. Далее ветви А и Б зеркально следуют наклонным трассам от r = 150 м до жилой поверхности r = 5 000 м; расчётная длина спиральной части около 4 923 м, суммарный канонический маршрут — 7 429 м, время поездки — 17,8 минуты. Каждая шахта имеет конструкционное устье Ø30 м и два транспортных канала чистым диаметром 8,0 м.</w:t>
      </w:r>
    </w:p>
    <w:p>
      <w:pPr>
        <w:pageBreakBefore w:val="0"/>
        <w:spacing w:after="80" w:line="269" w:lineRule="auto"/>
        <w:ind w:firstLine="397"/>
        <w:jc w:val="both"/>
      </w:pPr>
      <w:r>
        <w:rPr>
          <w:rFonts w:ascii="Times New Roman" w:hAnsi="Times New Roman" w:eastAsia="Times New Roman"/>
          <w:b w:val="0"/>
          <w:i w:val="0"/>
          <w:color w:val="20252B"/>
          <w:sz w:val="20"/>
        </w:rPr>
        <w:t>Отдельного внимания заслуживает поведение системы при отказе энергоснабжения. Герметичные двери переходной камеры и секционные двери шахты закрываются от резервного питания. В основном канале центробежный тормоз ограничивает самопроизвольное движение кабины к жилой поверхности; в сервисной зоне сохраняется механический фуникулёрно-эвакуационный рельс. Потеря одного коридора не лишает цилиндр сообщения: второй коридор остаётся работоспособным с пониженной пропускной способностью.</w:t>
      </w:r>
    </w:p>
    <w:p>
      <w:pPr>
        <w:pageBreakBefore w:val="0"/>
        <w:spacing w:after="80" w:line="269" w:lineRule="auto"/>
        <w:ind w:firstLine="397"/>
        <w:jc w:val="both"/>
      </w:pPr>
      <w:r>
        <w:rPr>
          <w:rFonts w:ascii="Times New Roman" w:hAnsi="Times New Roman" w:eastAsia="Times New Roman"/>
          <w:b w:val="0"/>
          <w:i w:val="0"/>
          <w:color w:val="20252B"/>
          <w:sz w:val="20"/>
        </w:rPr>
        <w:t>Расчёт пропускной способности: в каждом коридоре работают два восходящих и два нисходящих состава, то есть две пары кабин на шахту. При кабине на 100 человек и интервале 17,8 минуты один коридор обеспечивает около 675 человек в час. Два коридора переднего торца обеспечивают около 1 350 человек в час на цилиндр; при выводе одного коридора остаётся около 338 человек в час. Порожняя кабина массой 5 т возвращает около 34 кВт·ч на рейс; для полной расчётной массы 15 т энергетический эквивалент составляет около 102 кВт·ч до учёта потерь.</w:t>
      </w:r>
    </w:p>
    <w:p>
      <w:pPr>
        <w:pStyle w:val="Heading3"/>
        <w:keepNext/>
        <w:pageBreakBefore w:val="0"/>
        <w:spacing w:after="40"/>
        <w:jc w:val="left"/>
      </w:pPr>
      <w:r>
        <w:rPr>
          <w:rFonts w:ascii="Times New Roman" w:hAnsi="Times New Roman"/>
        </w:rPr>
        <w:t>4.7.5. Компоновочная база передней рамы и причального портала</w:t>
      </w:r>
    </w:p>
    <w:p>
      <w:pPr>
        <w:pageBreakBefore w:val="0"/>
        <w:spacing w:after="80" w:line="269" w:lineRule="auto"/>
        <w:ind w:firstLine="397"/>
        <w:jc w:val="both"/>
      </w:pPr>
      <w:r>
        <w:rPr>
          <w:rFonts w:ascii="Times New Roman" w:hAnsi="Times New Roman" w:eastAsia="Times New Roman"/>
          <w:b w:val="0"/>
          <w:i w:val="0"/>
          <w:color w:val="20252B"/>
          <w:sz w:val="20"/>
        </w:rPr>
        <w:t>Для каждого цилиндра принимается отдельная комбинированная передняя рама: силовое кольцо подшипника Ø400 м, 24 радиальных коробчатых силовых элемента с шагом 15°, центральный транспортный модуль около 74 × 74 м и внешний причально-сервисный портал. Радиальная ферма и портал не соединяются с боковой оболочкой; силовой путь замыкается через переднюю цапфу и корпус подшипника.</w:t>
      </w:r>
    </w:p>
    <w:p>
      <w:pPr>
        <w:pageBreakBefore w:val="0"/>
        <w:spacing w:after="80" w:line="269" w:lineRule="auto"/>
        <w:ind w:firstLine="397"/>
        <w:jc w:val="both"/>
      </w:pPr>
      <w:r>
        <w:rPr>
          <w:rFonts w:ascii="Times New Roman" w:hAnsi="Times New Roman" w:eastAsia="Times New Roman"/>
          <w:b w:val="0"/>
          <w:i w:val="0"/>
          <w:color w:val="20252B"/>
          <w:sz w:val="20"/>
        </w:rPr>
        <w:t>Причальный портал каждого цилиндра имеет шесть мест: четыре универсальных пассажирско-грузовых, одно стерильное грузовое и одно сервисно-аварийное. Расчёт основан на карантинном потоке 100 000 человек в год, трёхкратном пике и консервативном внешнем модуле на 50 пассажиров с оборотом до 8 часов. Четыре пассажирских места дают резерв N+1 относительно пикового потока; шахты с пропускной способностью 1 350 человек в час на цилиндр не являются ограничивающим звеном.</w:t>
      </w:r>
    </w:p>
    <w:p>
      <w:pPr>
        <w:pageBreakBefore w:val="0"/>
        <w:spacing w:after="80" w:line="269" w:lineRule="auto"/>
        <w:ind w:firstLine="397"/>
        <w:jc w:val="both"/>
      </w:pPr>
      <w:r>
        <w:rPr>
          <w:rFonts w:ascii="Times New Roman" w:hAnsi="Times New Roman" w:eastAsia="Times New Roman"/>
          <w:b w:val="0"/>
          <w:i w:val="0"/>
          <w:color w:val="20252B"/>
          <w:sz w:val="20"/>
        </w:rPr>
        <w:t>Внешняя боковая оболочка обоих цилиндров остаётся гладкой. Внешний общий вид показывает только физические рамы, причалы, радиаторы, шесть солнечных крыльев и ровно три антенны; разрезы транспортного узла выпускаются отдельными техническими видами.</w:t>
      </w:r>
    </w:p>
    <w:p>
      <w:pPr>
        <w:pStyle w:val="Heading3"/>
        <w:keepNext/>
        <w:pageBreakBefore w:val="0"/>
        <w:spacing w:after="40"/>
        <w:jc w:val="left"/>
      </w:pPr>
      <w:r>
        <w:rPr>
          <w:rFonts w:ascii="Times New Roman" w:hAnsi="Times New Roman"/>
        </w:rPr>
        <w:t>4.7.6. Обмен моментом импульса при перевозках</w:t>
      </w:r>
    </w:p>
    <w:p>
      <w:pPr>
        <w:pageBreakBefore w:val="0"/>
        <w:spacing w:after="80" w:line="269" w:lineRule="auto"/>
        <w:ind w:firstLine="397"/>
        <w:jc w:val="both"/>
      </w:pPr>
      <w:r>
        <w:rPr>
          <w:rFonts w:ascii="Times New Roman" w:hAnsi="Times New Roman" w:eastAsia="Times New Roman"/>
          <w:b w:val="0"/>
          <w:i w:val="0"/>
          <w:color w:val="20252B"/>
          <w:sz w:val="2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pageBreakBefore w:val="0"/>
        <w:spacing w:after="80" w:line="269" w:lineRule="auto"/>
        <w:ind w:firstLine="397"/>
        <w:jc w:val="both"/>
      </w:pPr>
      <w:r>
        <w:rPr>
          <w:rFonts w:ascii="Times New Roman" w:hAnsi="Times New Roman" w:eastAsia="Times New Roman"/>
          <w:b w:val="0"/>
          <w:i w:val="0"/>
          <w:color w:val="20252B"/>
          <w:sz w:val="2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pageBreakBefore w:val="0"/>
        <w:spacing w:after="80" w:line="269" w:lineRule="auto"/>
        <w:ind w:firstLine="397"/>
        <w:jc w:val="both"/>
      </w:pPr>
      <w:r>
        <w:rPr>
          <w:rFonts w:ascii="Times New Roman" w:hAnsi="Times New Roman" w:eastAsia="Times New Roman"/>
          <w:b w:val="0"/>
          <w:i w:val="0"/>
          <w:color w:val="20252B"/>
          <w:sz w:val="2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290749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13 — падение внутри вращающегося цилиндра: траектория и скорость соударения</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0" cy="4750829"/>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14 — наклонная шахта: переход «ось — обод» без карданного подвеса</w:t>
      </w:r>
    </w:p>
    <w:p>
      <w:pPr>
        <w:pStyle w:val="Heading2"/>
        <w:keepNext/>
        <w:pageBreakBefore w:val="0"/>
        <w:spacing w:after="40"/>
        <w:jc w:val="left"/>
      </w:pPr>
      <w:r>
        <w:rPr>
          <w:rFonts w:ascii="Times New Roman" w:hAnsi="Times New Roman" w:eastAsia="Times New Roman"/>
          <w:b/>
          <w:i w:val="0"/>
          <w:color w:val="2F5D83"/>
          <w:sz w:val="25"/>
        </w:rPr>
        <w:t>4.8. Транспортная инфраструктура</w:t>
      </w:r>
    </w:p>
    <w:p>
      <w:pPr>
        <w:pageBreakBefore w:val="0"/>
        <w:spacing w:after="80" w:line="269" w:lineRule="auto"/>
        <w:ind w:firstLine="709"/>
        <w:jc w:val="both"/>
      </w:pPr>
      <w:r>
        <w:rPr>
          <w:rFonts w:ascii="Times New Roman" w:hAnsi="Times New Roman" w:eastAsia="Times New Roman"/>
          <w:b w:val="0"/>
          <w:i w:val="0"/>
          <w:color w:val="20252B"/>
          <w:sz w:val="20"/>
        </w:rPr>
        <w:t>Дорожная сеть каждого цилиндра включает: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Продольные магистрали — две дороги вдоль всей 40-километровой цилиндрической части, 4 полосы, ширина 12 м.</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Кольцевые дороги — через каждые 5 км, ширина 8 м.</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Районные дороги — ширина 6 м внутри зон.</w:t>
      </w:r>
    </w:p>
    <w:p>
      <w:pPr>
        <w:pStyle w:val="Heading2"/>
        <w:keepNext/>
        <w:pageBreakBefore w:val="0"/>
        <w:spacing w:after="40"/>
        <w:jc w:val="left"/>
      </w:pPr>
      <w:r>
        <w:rPr>
          <w:rFonts w:ascii="Times New Roman" w:hAnsi="Times New Roman" w:eastAsia="Times New Roman"/>
          <w:b/>
          <w:i w:val="0"/>
          <w:color w:val="2F5D83"/>
          <w:sz w:val="25"/>
        </w:rPr>
        <w:t>4.9. Строительство и ввод в эксплуатацию</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Этап</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Содержание работ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Разведка и подготовка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Запуск зондов, доставка оборудования, освоение вспомогательных астероидов</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Развёртывание производства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Плавильные заводы, добыча руды на (6178) 1986 DA, 2016 ED85 и C-тип астероидах</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Строительство первого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Монтаж каркаса, обшивки, систем, биоты</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Строительство второго цилиндра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Аналогично первому</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Соединение цилиндров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Монтаж двух неподвижных осевых соединительных ферм между торцевыми подшипниковыми узлами; продольного соединения боковых оболочек нет</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Заполнение атмосферой</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Герметизация, подача газовой смеси</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 Отделение и перелёт к L1</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Отстыковка от строительной базы, манёвр</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Испытания в L1</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Проверка систем, калибровка</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 Приём поселенцев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Заселение обоих цилиндров</w:t>
            </w:r>
          </w:p>
        </w:tc>
      </w:tr>
    </w:tbl>
    <w:p>
      <w:pPr>
        <w:pageBreakBefore w:val="0"/>
        <w:spacing w:after="80" w:line="269" w:lineRule="auto"/>
        <w:ind w:firstLine="709"/>
        <w:jc w:val="both"/>
      </w:pPr>
      <w:r>
        <w:rPr>
          <w:rFonts w:ascii="Times New Roman" w:hAnsi="Times New Roman" w:eastAsia="Times New Roman"/>
          <w:b w:val="0"/>
          <w:i w:val="0"/>
          <w:color w:val="20252B"/>
          <w:sz w:val="20"/>
        </w:rPr>
        <w:t>Общий срок строительства: ~75–95 лет.</w:t>
      </w:r>
    </w:p>
    <w:p>
      <w:pPr>
        <w:pStyle w:val="Heading2"/>
        <w:keepNext/>
        <w:pageBreakBefore w:val="0"/>
        <w:spacing w:after="40"/>
        <w:jc w:val="left"/>
      </w:pPr>
      <w:r>
        <w:rPr>
          <w:rFonts w:ascii="Times New Roman" w:hAnsi="Times New Roman" w:eastAsia="Times New Roman"/>
          <w:b/>
          <w:i w:val="0"/>
          <w:color w:val="2F5D83"/>
          <w:sz w:val="25"/>
        </w:rPr>
        <w:t>4.10. Роботизированные системы</w:t>
      </w:r>
    </w:p>
    <w:p>
      <w:pPr>
        <w:pageBreakBefore w:val="0"/>
        <w:spacing w:after="80" w:line="269" w:lineRule="auto"/>
        <w:ind w:firstLine="709"/>
        <w:jc w:val="both"/>
      </w:pPr>
      <w:r>
        <w:rPr>
          <w:rFonts w:ascii="Times New Roman" w:hAnsi="Times New Roman" w:eastAsia="Times New Roman"/>
          <w:b w:val="0"/>
          <w:i w:val="0"/>
          <w:color w:val="20252B"/>
          <w:sz w:val="20"/>
        </w:rPr>
        <w:t>Все типы роботов удвоены для обслуживания двух цилиндров. Добавляются:</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Роботы-монтажники ферменной рамы и подшипниковых узлов.</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pStyle w:val="Heading2"/>
        <w:keepNext/>
        <w:pageBreakBefore w:val="0"/>
        <w:spacing w:after="40"/>
        <w:jc w:val="left"/>
      </w:pPr>
      <w:r>
        <w:rPr>
          <w:rFonts w:ascii="Times New Roman" w:hAnsi="Times New Roman" w:eastAsia="Times New Roman"/>
          <w:b/>
          <w:i w:val="0"/>
          <w:color w:val="2F5D83"/>
          <w:sz w:val="25"/>
        </w:rPr>
        <w:t>4.11. Принцип стабилизации и соединение вращающихся цилиндров</w:t>
      </w:r>
    </w:p>
    <w:p>
      <w:pPr>
        <w:pageBreakBefore w:val="0"/>
        <w:spacing w:after="80" w:line="269" w:lineRule="auto"/>
        <w:ind w:firstLine="397"/>
        <w:jc w:val="both"/>
      </w:pPr>
      <w:r>
        <w:rPr>
          <w:rFonts w:ascii="Times New Roman" w:hAnsi="Times New Roman" w:eastAsia="Times New Roman"/>
          <w:b w:val="0"/>
          <w:i w:val="0"/>
          <w:color w:val="20252B"/>
          <w:sz w:val="2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pageBreakBefore w:val="0"/>
        <w:spacing w:after="80" w:line="269" w:lineRule="auto"/>
        <w:ind w:firstLine="709"/>
        <w:jc w:val="both"/>
      </w:pPr>
      <w:r>
        <w:rPr>
          <w:rFonts w:ascii="Times New Roman" w:hAnsi="Times New Roman" w:eastAsia="Times New Roman"/>
          <w:b w:val="0"/>
          <w:i w:val="0"/>
          <w:color w:val="20252B"/>
          <w:sz w:val="20"/>
        </w:rPr>
        <w:t>Техническая реализация соединения</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Подшипниковые узлы воспринимают радиальные и осевые нагрузки, удерживают каждый цилиндр независимо и содержат по два независимых магнитных контура с механическими ловителями. Встроенные мотор-генераторы выполняют раскрутку, корректируют фазу встречного вращения и возвращают энергию в сеть при торможении. Статоры, силовая электроника, охлаждение и кабельные вводы находятся на неподвижных торцевых рамах; к боковой оболочке и к межцилиндровому зазору они не относятся.</w:t>
      </w:r>
    </w:p>
    <w:p>
      <w:pPr>
        <w:pageBreakBefore w:val="0"/>
        <w:spacing w:after="80" w:line="269" w:lineRule="auto"/>
        <w:ind w:firstLine="709"/>
        <w:jc w:val="both"/>
      </w:pPr>
      <w:r>
        <w:rPr>
          <w:rFonts w:ascii="Times New Roman" w:hAnsi="Times New Roman" w:eastAsia="Times New Roman"/>
          <w:b w:val="0"/>
          <w:i w:val="0"/>
          <w:color w:val="20252B"/>
          <w:sz w:val="20"/>
        </w:rPr>
        <w:t>Физический принцип стабилизации</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Момент импульса первого цилиндра направлен вдоль оси в одну сторону.</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Момент импульса второго цилиндра — строго противоположно.</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Суммарный момент импульса системы близок к нулю.</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pageBreakBefore w:val="0"/>
        <w:spacing w:after="80" w:line="269" w:lineRule="auto"/>
        <w:ind w:firstLine="397"/>
        <w:jc w:val="both"/>
      </w:pPr>
      <w:r>
        <w:rPr>
          <w:rFonts w:ascii="Times New Roman" w:hAnsi="Times New Roman" w:eastAsia="Times New Roman"/>
          <w:b w:val="0"/>
          <w:i w:val="0"/>
          <w:color w:val="20252B"/>
          <w:sz w:val="2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pStyle w:val="Heading3"/>
        <w:keepNext/>
        <w:pageBreakBefore w:val="0"/>
        <w:spacing w:after="40"/>
      </w:pPr>
      <w:r>
        <w:rPr>
          <w:rFonts w:ascii="Times New Roman" w:hAnsi="Times New Roman" w:eastAsia="Times New Roman"/>
          <w:b/>
          <w:i w:val="0"/>
          <w:color w:val="B56B3C"/>
          <w:sz w:val="22"/>
        </w:rPr>
        <w:t>4.11.1. Оборудование на осевых соединительных фермах и неподвижных рамах</w:t>
      </w:r>
    </w:p>
    <w:p>
      <w:pPr>
        <w:pageBreakBefore w:val="0"/>
        <w:spacing w:after="80" w:line="269" w:lineRule="auto"/>
        <w:ind w:firstLine="397"/>
      </w:pPr>
      <w:r>
        <w:rPr>
          <w:rFonts w:ascii="Times New Roman" w:hAnsi="Times New Roman" w:eastAsia="Times New Roman"/>
          <w:b w:val="0"/>
          <w:i w:val="0"/>
          <w:color w:val="20252B"/>
          <w:sz w:val="20"/>
        </w:rPr>
        <w:t>В настоящем подразделе под соединительными балками понимаются только две неподвижные осевые соединительные фермы: передняя и задняя. Каждая ферма соединяет торцевые подшипниковые корпуса двух цилиндров на межосевом пролёте 21 км и передаёт нагрузки через цапфы, подшипниковые узлы и неподвижные рамы. Продольной конструкции вдоль межцилиндрового зазора нет, боковые оболочки между собой не соединены, а оборудование не закрепляется на вращающейся оболочке. Осевые светотепловые балки внутри цилиндров, четыре торцевых подшипниковых узла и передние/задние рамы с причалами, радиаторами, антеннами и двигательными модулями считаются отдельными подсистемами; ниже показано их оборудование в зоне осевого рамно-ферменного комплекса. Под «на ферме» ниже понимаются её опорные платформы, подвесы, коллекторы и рамные площадки; это не означает крепление к вращающейся оболочке.</w:t>
      </w:r>
    </w:p>
    <w:p>
      <w:pPr>
        <w:pageBreakBefore w:val="0"/>
        <w:spacing w:after="80" w:line="269" w:lineRule="auto"/>
        <w:ind w:firstLine="397"/>
      </w:pPr>
      <w:r>
        <w:rPr>
          <w:rFonts w:ascii="Times New Roman" w:hAnsi="Times New Roman" w:eastAsia="Times New Roman"/>
          <w:b w:val="0"/>
          <w:i w:val="0"/>
          <w:color w:val="20252B"/>
          <w:sz w:val="20"/>
        </w:rPr>
        <w:t>Оценка ориентировочная и концептуальная: массы приведены для компоновочного резерва, не являются рабочей конструкторской документацией и требуют расчёта прочности, тепла, вибраций, электромагнитной совместимости, квалификации и полномасштабных испытаний. Количество указано для станции из двух цилиндров; резервирование — функциональное, до выпуска рабочих схем.</w:t>
      </w:r>
    </w:p>
    <w:p>
      <w:pPr>
        <w:pStyle w:val="Caption"/>
        <w:keepNext w:val="0"/>
        <w:pageBreakBefore w:val="0"/>
        <w:spacing w:after="100" w:before="100"/>
        <w:jc w:val="center"/>
      </w:pPr>
      <w:r>
        <w:rPr>
          <w:rFonts w:ascii="Times New Roman" w:hAnsi="Times New Roman" w:eastAsia="Times New Roman"/>
          <w:b/>
          <w:i/>
          <w:color w:val="667085"/>
          <w:sz w:val="17"/>
        </w:rPr>
        <w:t>Таблица 4.11 — Предварительная ведомость оборудования осевого рамно-ферменного комплекса (концептуальная оценка)</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Оборудование</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Количество</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Масса единицы, тыс. т</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Всего, млн т</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Материалы, ориентировочно</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Расположение; резервирование; статус</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Две межцилиндровые осевые соединительные фермы и узлы крепления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750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18Ni(300)/низколегированная сталь; Al/Ti во вторичных элементах</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Передняя и задняя фермы между торцевыми подшипниковыми корпусами; симметрия 2×; концептуальная оценка, не РКД</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Термоядерные реакторные модули с экраном и силовой электроникой</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1 500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низкоактивационная сталь, W, Cu/Nb₃Sn или HTS, литиевый бланкет, керамика</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Задняя осевая ферма и неподвижные рамы, по два на цилиндр; рабочий резерв 3+1 по модульной схеме;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Высокотемпературные теплообменные и насосные поезда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Ni-сплавы, нержавеющая сталь, Cu, керамика, теплоизоляция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Задняя ферма и рамы у реакторов; 2 независимых поезда на реактор;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Низкотемпературные радиаторы с коллекторами</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система; 1 477 км²</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29 540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29,54</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Al-панели/сталь, Ni- и нержавеющие коллекторы, теплоноситель, изоляция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Передняя и задняя осевые фермы/неподвижные рамы и четыре стационарных узла; секционирование и 15 % резерв площади; концептуально; 20 кг/м²</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Поворотные солнечные крылья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Si или III–V, Al/CFRP, стекло/полимер, Cu</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Задние фермы/рамы, по три на цилиндр; функциональное 5+1;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Причальные и сервисные узлы</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0,36</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сталь/нержавеющая сталь, Al, композиты, уплотнения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Передние фермы/рамы, по шесть на цилиндр; 4 пассажирских + 1 стерильный + 1 аварийный на цилиндр; N+1 по коридорам;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Карантинно-передаточные блоки</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нержавеющая сталь, Al, стекло, полимеры, гермопереборки</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Передние сервисные рамы, по одному на цилиндр; взаимное резервирование потоков А/Б;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Высоконаправленные антенные модули</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25</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0,075</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CFRP, Al, Cu, радиопрозрачный обтекатель</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Задние фермы/рамы, схема 2+1; резервирование связных каналов;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Двигательные кластеры удержания и манёвра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нержавеющие/Ni-сплавы, Cu, керамика, углерод, баки рабочего тела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Задняя неподвижная рама, по два на цилиндр; минимум 3 из 4 для штатного режима;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Распределение энергии, приводы, кабели, КИП и ремонтные комплекты</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комплекта</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Cu/Al, Si, оптоволокно, сталь, полимеры</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Обе рамы и фермы; раздельные фидеры и локальные запасы;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детализированная предварительная оценка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44,675 млн т = 0,0447 млрд т</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Подмножество строки «рама, узлы, реакторы, радиаторы» с резервом 3,00 млрд т в сводном балансе; не прибавляется к 46,70 млрд т повторно; квалификация оборудования и испытания ещё требуют разработки</w:t>
            </w:r>
          </w:p>
        </w:tc>
      </w:tr>
    </w:tbl>
    <w:p>
      <w:pPr>
        <w:pStyle w:val="Heading2"/>
        <w:keepNext/>
        <w:pageBreakBefore w:val="0"/>
        <w:spacing w:after="40"/>
        <w:jc w:val="left"/>
      </w:pPr>
      <w:r>
        <w:rPr>
          <w:rFonts w:ascii="Times New Roman" w:hAnsi="Times New Roman" w:eastAsia="Times New Roman"/>
          <w:b/>
          <w:i w:val="0"/>
          <w:color w:val="2F5D83"/>
          <w:sz w:val="25"/>
        </w:rPr>
        <w:t>4.12. Ресурсное обеспечение строительства</w:t>
      </w:r>
    </w:p>
    <w:p>
      <w:pPr>
        <w:pageBreakBefore w:val="0"/>
        <w:spacing w:after="80" w:line="269" w:lineRule="auto"/>
        <w:ind w:firstLine="397"/>
        <w:jc w:val="both"/>
      </w:pPr>
      <w:r>
        <w:rPr>
          <w:rFonts w:ascii="Times New Roman" w:hAnsi="Times New Roman" w:eastAsia="Times New Roman"/>
          <w:b w:val="0"/>
          <w:i w:val="0"/>
          <w:color w:val="20252B"/>
          <w:sz w:val="20"/>
        </w:rPr>
        <w:t>Цельнометаллическое исполнение делает металл определяющим ресурсом проекта. Настоящий раздел проверяет достаточность астероидной базы.</w:t>
      </w:r>
    </w:p>
    <w:p>
      <w:pPr>
        <w:pStyle w:val="Caption"/>
        <w:keepNext w:val="0"/>
        <w:pageBreakBefore w:val="0"/>
        <w:spacing w:after="100" w:before="100"/>
        <w:jc w:val="center"/>
      </w:pPr>
      <w:r>
        <w:rPr>
          <w:rFonts w:ascii="Times New Roman" w:hAnsi="Times New Roman" w:eastAsia="Times New Roman"/>
          <w:b/>
          <w:i/>
          <w:color w:val="667085"/>
          <w:sz w:val="17"/>
        </w:rPr>
        <w:t>Таблица 4.14 — Потребность в материалах и источники покрытия (два цилиндра)</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Материал</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Потребность, млрд 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Источник</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Обеспеченность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Сталь 18Ni(300), силовой пояс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20,83</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(6178) 1986 DA, металл M-типа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Определяющий ресурс</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Сталь нержавеющая, гермооболочка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1,22</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(6178) 1986 DA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Достаточно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Реголит, боросиликат (радзащита)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4,65</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Силикаты 1986 DA, 2016 ED85</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Достаточно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Грунт растительный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8,13</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Переработка силикатов, органика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Достаточно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1,17</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C-тип астероиды, лёд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Разработана на концептуальном уровне в главе 8; промышленный график, квалификация оборудования и полномасштабные испытания ещё требуют разработки.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Летучие для атмосферы (N₂, O₂)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7,55</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C-тип астероиды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Разработана на концептуальном уровне в главе 8; промышленный график, квалификация оборудования и полномасштабные испытания ещё требуют разработки.</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00000" cy="23671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15 — ресурсная обеспеченность строительства</w:t>
      </w:r>
    </w:p>
    <w:p>
      <w:pPr>
        <w:pageBreakBefore w:val="0"/>
        <w:spacing w:after="80" w:line="269" w:lineRule="auto"/>
        <w:ind w:firstLine="397"/>
        <w:jc w:val="both"/>
      </w:pPr>
      <w:r>
        <w:rPr>
          <w:rFonts w:ascii="Times New Roman" w:hAnsi="Times New Roman" w:eastAsia="Times New Roman"/>
          <w:b w:val="0"/>
          <w:i w:val="0"/>
          <w:color w:val="20252B"/>
          <w:sz w:val="20"/>
        </w:rPr>
        <w:t>Суммарная потребность в стали составляет 22,05 млрд т на два цилиндра, включая силовой набор и окантовку вырезов. При технологических потерях 25 % требуется переработать около 29,4 млрд т металлического сырья, что использует около 94 % металлического ресурса основного астероида. Вспомогательная сырьевая база обязательна для резервирования и промышленного оборудования.</w:t>
      </w:r>
    </w:p>
    <w:p>
      <w:pPr>
        <w:pageBreakBefore w:val="0"/>
        <w:spacing w:after="80" w:line="269" w:lineRule="auto"/>
        <w:ind w:firstLine="397"/>
        <w:jc w:val="both"/>
      </w:pPr>
      <w:r>
        <w:rPr>
          <w:rFonts w:ascii="Times New Roman" w:hAnsi="Times New Roman" w:eastAsia="Times New Roman"/>
          <w:b w:val="0"/>
          <w:i w:val="0"/>
          <w:color w:val="20252B"/>
          <w:sz w:val="20"/>
        </w:rPr>
        <w:t>Вывод: ресурсов одного астероида формально достаточно для основного металлического контура, но резерв практически отсутствует. Астероид 2016 ED85 и другие вспомогательные объекты необходимы для двигательной установки, промышленности станции и компенсации потерь.</w:t>
      </w:r>
    </w:p>
    <w:p>
      <w:pPr>
        <w:pageBreakBefore w:val="0"/>
        <w:spacing w:after="80" w:line="269" w:lineRule="auto"/>
        <w:ind w:firstLine="709"/>
        <w:jc w:val="both"/>
      </w:pPr>
      <w:r>
        <w:rPr>
          <w:rFonts w:ascii="Times New Roman" w:hAnsi="Times New Roman" w:eastAsia="Times New Roman"/>
          <w:b w:val="0"/>
          <w:i w:val="0"/>
          <w:color w:val="20252B"/>
          <w:sz w:val="20"/>
        </w:rPr>
        <w:t>Требования по легирующим элементам</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Элемент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Потребность, млрд 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Состояние обеспеченности</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Никель</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3,84</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Содержание в железных астероидах 5–15 %; требуется обогащение до 18 %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Кобальт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1,92</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1986 DA отличается повышенным содержанием Co; требуется концентрирование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Молибден</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1,07</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Дефицитен; требует отдельного решения (см. п. 4.2)</w:t>
            </w:r>
          </w:p>
        </w:tc>
      </w:tr>
    </w:tbl>
    <w:p>
      <w:pPr>
        <w:pageBreakBefore w:val="0"/>
        <w:spacing w:after="80" w:line="269" w:lineRule="auto"/>
        <w:ind w:firstLine="397"/>
        <w:jc w:val="both"/>
      </w:pPr>
      <w:r>
        <w:rPr>
          <w:rFonts w:ascii="Times New Roman" w:hAnsi="Times New Roman" w:eastAsia="Times New Roman"/>
          <w:b w:val="0"/>
          <w:i w:val="0"/>
          <w:color w:val="20252B"/>
          <w:sz w:val="2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pageBreakBefore w:val="0"/>
        <w:spacing w:after="80" w:line="269" w:lineRule="auto"/>
        <w:ind w:firstLine="397"/>
        <w:jc w:val="both"/>
      </w:pPr>
      <w:r>
        <w:rPr>
          <w:rFonts w:ascii="Times New Roman" w:hAnsi="Times New Roman" w:eastAsia="Times New Roman"/>
          <w:b w:val="0"/>
          <w:i w:val="0"/>
          <w:color w:val="20252B"/>
          <w:sz w:val="2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pageBreakBefore w:val="0"/>
        <w:spacing w:after="80" w:line="269" w:lineRule="auto"/>
        <w:ind w:firstLine="709"/>
        <w:jc w:val="both"/>
      </w:pPr>
      <w:r>
        <w:rPr>
          <w:rFonts w:ascii="Times New Roman" w:hAnsi="Times New Roman" w:eastAsia="Times New Roman"/>
          <w:b w:val="0"/>
          <w:i w:val="0"/>
          <w:color w:val="20252B"/>
          <w:sz w:val="20"/>
        </w:rPr>
        <w:t>Комплексная ресурсная база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2016 ED85 — обязательный вспомогательный источник металла и силикатов; обеспечивает резерв, отсутствующий у основного астероида.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Углеродные (C-тип) астероиды — вода, азот, кислород, углерод. Критический ресурс для атмосферы и гидросети: 8,56 млрд т летучих веществ.</w:t>
      </w:r>
    </w:p>
    <w:p>
      <w:pPr>
        <w:pageBreakBefore w:val="0"/>
        <w:spacing w:after="80" w:line="269" w:lineRule="auto"/>
        <w:ind w:firstLine="397"/>
        <w:jc w:val="both"/>
      </w:pPr>
      <w:r>
        <w:rPr>
          <w:rFonts w:ascii="Times New Roman" w:hAnsi="Times New Roman" w:eastAsia="Times New Roman"/>
          <w:b w:val="0"/>
          <w:i w:val="0"/>
          <w:color w:val="20252B"/>
          <w:sz w:val="2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pStyle w:val="Heading2"/>
        <w:keepNext/>
        <w:pageBreakBefore w:val="0"/>
        <w:spacing w:after="40"/>
        <w:jc w:val="left"/>
      </w:pPr>
      <w:r>
        <w:rPr>
          <w:rFonts w:ascii="Times New Roman" w:hAnsi="Times New Roman" w:eastAsia="Times New Roman"/>
          <w:b/>
          <w:i w:val="0"/>
          <w:color w:val="2F5D83"/>
          <w:sz w:val="25"/>
        </w:rPr>
        <w:t>4.13. Осевая светотепловая балка (ОСБ)</w:t>
      </w:r>
    </w:p>
    <w:p>
      <w:pPr>
        <w:pageBreakBefore w:val="0"/>
        <w:spacing w:after="80" w:line="269" w:lineRule="auto"/>
        <w:ind w:firstLine="709"/>
        <w:jc w:val="both"/>
      </w:pPr>
      <w:r>
        <w:rPr>
          <w:rFonts w:ascii="Times New Roman" w:hAnsi="Times New Roman" w:eastAsia="Times New Roman"/>
          <w:b w:val="0"/>
          <w:i w:val="0"/>
          <w:color w:val="20252B"/>
          <w:sz w:val="20"/>
        </w:rPr>
        <w:t>Система автономного освещения и терморегуляции.</w:t>
      </w:r>
    </w:p>
    <w:p>
      <w:pPr>
        <w:pStyle w:val="Heading3"/>
        <w:keepNext/>
        <w:pageBreakBefore w:val="0"/>
        <w:spacing w:after="40"/>
        <w:jc w:val="left"/>
      </w:pPr>
      <w:r>
        <w:rPr>
          <w:rFonts w:ascii="Times New Roman" w:hAnsi="Times New Roman" w:eastAsia="Times New Roman"/>
          <w:b/>
          <w:i w:val="0"/>
          <w:color w:val="B56B3C"/>
          <w:sz w:val="22"/>
        </w:rPr>
        <w:t>4.13.1. Назначение и область применения</w:t>
      </w:r>
    </w:p>
    <w:p>
      <w:pPr>
        <w:pageBreakBefore w:val="0"/>
        <w:spacing w:after="80" w:line="269" w:lineRule="auto"/>
        <w:ind w:firstLine="397"/>
        <w:jc w:val="both"/>
      </w:pPr>
      <w:r>
        <w:rPr>
          <w:rFonts w:ascii="Times New Roman" w:hAnsi="Times New Roman" w:eastAsia="Times New Roman"/>
          <w:b w:val="0"/>
          <w:i w:val="0"/>
          <w:color w:val="20252B"/>
          <w:sz w:val="2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pStyle w:val="Heading3"/>
        <w:keepNext/>
        <w:pageBreakBefore w:val="0"/>
        <w:spacing w:after="40"/>
        <w:jc w:val="left"/>
      </w:pPr>
      <w:r>
        <w:rPr>
          <w:rFonts w:ascii="Times New Roman" w:hAnsi="Times New Roman" w:eastAsia="Times New Roman"/>
          <w:b/>
          <w:i w:val="0"/>
          <w:color w:val="B56B3C"/>
          <w:sz w:val="22"/>
        </w:rPr>
        <w:t>4.13.2. Конструкция и размещение</w:t>
      </w:r>
    </w:p>
    <w:p>
      <w:pPr>
        <w:pageBreakBefore w:val="0"/>
        <w:spacing w:after="80" w:line="269" w:lineRule="auto"/>
        <w:ind w:firstLine="397"/>
        <w:jc w:val="both"/>
      </w:pPr>
      <w:r>
        <w:rPr>
          <w:rFonts w:ascii="Times New Roman" w:hAnsi="Times New Roman" w:eastAsia="Times New Roman"/>
          <w:b w:val="0"/>
          <w:i w:val="0"/>
          <w:color w:val="20252B"/>
          <w:sz w:val="2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Вакуумная прослойка (5–8 м): 50 слоёв MLI (алюминизированный Mylar), давление &lt; 10⁻³ Па.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pStyle w:val="Heading3"/>
        <w:keepNext/>
        <w:pageBreakBefore w:val="0"/>
        <w:spacing w:after="40"/>
        <w:jc w:val="left"/>
      </w:pPr>
      <w:r>
        <w:rPr>
          <w:rFonts w:ascii="Times New Roman" w:hAnsi="Times New Roman" w:eastAsia="Times New Roman"/>
          <w:b/>
          <w:i w:val="0"/>
          <w:color w:val="B56B3C"/>
          <w:sz w:val="22"/>
        </w:rPr>
        <w:t>4.13.3. Тепловой баланс на оси</w:t>
      </w:r>
    </w:p>
    <w:p>
      <w:pPr>
        <w:pageBreakBefore w:val="0"/>
        <w:spacing w:after="80" w:line="269" w:lineRule="auto"/>
        <w:ind w:firstLine="397"/>
        <w:jc w:val="both"/>
      </w:pPr>
      <w:r>
        <w:rPr>
          <w:rFonts w:ascii="Times New Roman" w:hAnsi="Times New Roman" w:eastAsia="Times New Roman"/>
          <w:b w:val="0"/>
          <w:i w:val="0"/>
          <w:color w:val="20252B"/>
          <w:sz w:val="20"/>
        </w:rPr>
        <w:t>Электрическая мощность, подводимая к осевой светотепловой балке одного цилиндра, составляет 251 ГВт. Из неё 93 ГВт преобразуются в полезное излучение к стенкам, а 158 ГВт относятся к теплу и отводятся соответствующим контуром.</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Параметр</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Значение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Электрическая мощность на ось (один цилиндр)</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251 ГВт</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Полезное излучение к стенкам</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93 ГВт (37 %)</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Тепло, остающееся в конструкции оси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158 ГВт (63 %)</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Просачивание через MLI к наружной оболочке</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&lt; 50 МВт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Температура теплоносителя (вход / выход)</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 °C / 22 °C</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Температура наружной оболочки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25 °C</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Температура плавления материала трубы ОСБ</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~1 400 °C (справочно)</w:t>
            </w:r>
          </w:p>
        </w:tc>
      </w:tr>
    </w:tbl>
    <w:p>
      <w:pPr>
        <w:pageBreakBefore w:val="0"/>
        <w:spacing w:after="80" w:line="269" w:lineRule="auto"/>
        <w:ind w:firstLine="397"/>
        <w:jc w:val="both"/>
      </w:pPr>
      <w:r>
        <w:rPr>
          <w:rFonts w:ascii="Times New Roman" w:hAnsi="Times New Roman" w:eastAsia="Times New Roman"/>
          <w:b w:val="0"/>
          <w:i w:val="0"/>
          <w:color w:val="20252B"/>
          <w:sz w:val="2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pStyle w:val="Heading3"/>
        <w:keepNext/>
        <w:pageBreakBefore w:val="0"/>
        <w:spacing w:after="40"/>
        <w:jc w:val="left"/>
      </w:pPr>
      <w:r>
        <w:rPr>
          <w:rFonts w:ascii="Times New Roman" w:hAnsi="Times New Roman" w:eastAsia="Times New Roman"/>
          <w:b/>
          <w:i w:val="0"/>
          <w:color w:val="B56B3C"/>
          <w:sz w:val="22"/>
        </w:rPr>
        <w:t>4.13.4. Спектральный состав и распределение по зонам</w:t>
      </w:r>
    </w:p>
    <w:p>
      <w:pPr>
        <w:pageBreakBefore w:val="0"/>
        <w:spacing w:after="80" w:line="269" w:lineRule="auto"/>
        <w:ind w:firstLine="397"/>
        <w:jc w:val="both"/>
      </w:pPr>
      <w:r>
        <w:rPr>
          <w:rFonts w:ascii="Times New Roman" w:hAnsi="Times New Roman" w:eastAsia="Times New Roman"/>
          <w:b w:val="0"/>
          <w:i w:val="0"/>
          <w:color w:val="20252B"/>
          <w:sz w:val="20"/>
        </w:rPr>
        <w:t>Балка сегментирована на 40 модулей по 1 км, каждый с независимым управлением мощностью. Рефлекторы направляют свет радиально к стенкам; плотности потока соответствуют принятым климатическим зонам.</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Зона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Длина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Плотность потока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Мощность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Спектр</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Тропическая (0–10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220 Вт/м²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69,1 ГВт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Вольфрам 3000 К + LED 450/660 нм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Субтропическая (10–22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170 Вт/м²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64,1 ГВт</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Вольфрам 2800 К + белый LED 4000 К</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Умеренная (22–32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 Вт/м²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37,7 ГВт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Белый LED 4000 К, умеренный ИК</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Холодная (32–40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 Вт/м²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15,1 ГВт</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Видимый свет для мхов и ягодников</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186 ГВт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pStyle w:val="Heading3"/>
        <w:keepNext/>
        <w:pageBreakBefore w:val="0"/>
        <w:spacing w:after="40"/>
        <w:jc w:val="left"/>
      </w:pPr>
      <w:r>
        <w:rPr>
          <w:rFonts w:ascii="Times New Roman" w:hAnsi="Times New Roman" w:eastAsia="Times New Roman"/>
          <w:b/>
          <w:i w:val="0"/>
          <w:color w:val="B56B3C"/>
          <w:sz w:val="22"/>
        </w:rPr>
        <w:t>4.13.5. Имитация суточного цикла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Жалюзи на балке: поворотные ламели перекрывают секторы, создавая полосу тьмы, движущуюся вдоль цилиндра (скорость ~1,7 км/ч, цикл 24 ч).</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Рассвет/закат: на границе света и тьмы LED переключаются на 2000 К (красно-оранжевый) на 15 минут.</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Звёздное небо: в ночных секторах точечные LED 2700 К имитируют звёзды.</w:t>
      </w:r>
    </w:p>
    <w:p>
      <w:pPr>
        <w:pStyle w:val="Heading3"/>
        <w:keepNext/>
        <w:pageBreakBefore w:val="0"/>
        <w:spacing w:after="40"/>
        <w:jc w:val="left"/>
      </w:pPr>
      <w:r>
        <w:rPr>
          <w:rFonts w:ascii="Times New Roman" w:hAnsi="Times New Roman" w:eastAsia="Times New Roman"/>
          <w:b/>
          <w:i w:val="0"/>
          <w:color w:val="B56B3C"/>
          <w:sz w:val="22"/>
        </w:rPr>
        <w:t>4.13.6. Энергоснабжение ОСБ и сводный энергобаланс станции</w:t>
      </w:r>
    </w:p>
    <w:p>
      <w:pPr>
        <w:pStyle w:val="Caption"/>
        <w:keepNext w:val="0"/>
        <w:pageBreakBefore w:val="0"/>
        <w:spacing w:after="100" w:before="100"/>
        <w:jc w:val="center"/>
      </w:pPr>
      <w:r>
        <w:rPr>
          <w:rFonts w:ascii="Times New Roman" w:hAnsi="Times New Roman" w:eastAsia="Times New Roman"/>
          <w:b/>
          <w:i/>
          <w:color w:val="667085"/>
          <w:sz w:val="17"/>
        </w:rPr>
        <w:t>Таблица 4.15 — Энергобаланс станции в автономном режиме</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Потребитель</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Мощность, ГВт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Осевые светотепловые балки, два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Тепловые насосы системы сброса тепла (COP = 6)</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96</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Системы жизнеобеспечения, насосы, вентиляция</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Быт, транспорт, промышленность (1 млн человек)</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Подшипниковые узлы, моторы-генераторы и силовая электроника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Резерв и потери передачи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31</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Удержание станции в точке L1 (п. 11.5)</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63,4</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электрическая мощность</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721,4</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Тепловая мощность реакторов при КПД 45 %</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1 603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Из неё уносится струёй масс-драйвера, не греет станцию</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44,4</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80000" cy="37834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16 — энергетический баланс и распределение светового потока</w:t>
      </w:r>
    </w:p>
    <w:p>
      <w:pPr>
        <w:pageBreakBefore w:val="0"/>
        <w:spacing w:after="80" w:line="269" w:lineRule="auto"/>
        <w:ind w:firstLine="397"/>
        <w:jc w:val="both"/>
      </w:pPr>
      <w:r>
        <w:rPr>
          <w:rFonts w:ascii="Times New Roman" w:hAnsi="Times New Roman" w:eastAsia="Times New Roman"/>
          <w:b w:val="0"/>
          <w:i w:val="0"/>
          <w:color w:val="20252B"/>
          <w:sz w:val="20"/>
        </w:rPr>
        <w:t>Требуются четыре термоядерных реактора D–T тепловой мощностью 366 ГВт каждый — по два на цилиндр. Их электрическая мощность покрывает энергобаланс станции 721,4 ГВт с учётом тепловых насосов, удержания, жизнеобеспечения и резерва.</w:t>
      </w:r>
    </w:p>
    <w:p>
      <w:pPr>
        <w:pageBreakBefore w:val="0"/>
        <w:spacing w:after="80" w:line="269" w:lineRule="auto"/>
        <w:ind w:firstLine="397"/>
        <w:jc w:val="both"/>
      </w:pPr>
      <w:r>
        <w:rPr>
          <w:rFonts w:ascii="Times New Roman" w:hAnsi="Times New Roman" w:eastAsia="Times New Roman"/>
          <w:b w:val="0"/>
          <w:i w:val="0"/>
          <w:color w:val="20252B"/>
          <w:sz w:val="20"/>
        </w:rPr>
        <w:t>Реакторы размещаются на задней неподвижной ферменной раме позади задних торцов, вне внутреннего пространства цилиндров. На задних рамах размещаются шесть вспомогательных солнечных крыльев — по три на каждый цилиндр; три крыла каждой рамы образуют локальную симметричную триаду с угловым шагом 120°. Ровно три антенных модуля распределены по схеме 2 + 1: два на задней раме первого цилиндра и один на задней раме второго; два первых размещаются зеркально, одиночный получает локальный противовес или сервисный контейнер. Функционально три антенны оптимальны: две высоконаправленные обеспечивают основной и резервный канал связи с Землёй, третья широкополосная/аварийная обслуживает безопасный режим, локальные аппараты и резервную телеметрию. Одна антенна не даёт отказоустойчивости, две не оставляют отдельного аварийного канала, а увеличение числа без дополнительного направления или независимого диапазона только увеличивает массу и сложность наведения. На боковой обшивке цилиндров ничего не размещается.</w:t>
      </w:r>
    </w:p>
    <w:p>
      <w:pPr>
        <w:pageBreakBefore w:val="0"/>
        <w:spacing w:after="80" w:line="269" w:lineRule="auto"/>
        <w:ind w:firstLine="397"/>
        <w:jc w:val="both"/>
      </w:pPr>
      <w:r>
        <w:rPr>
          <w:rFonts w:ascii="Times New Roman" w:hAnsi="Times New Roman" w:eastAsia="Times New Roman"/>
          <w:b w:val="0"/>
          <w:i w:val="0"/>
          <w:color w:val="20252B"/>
          <w:sz w:val="20"/>
        </w:rPr>
        <w:t>Зеркальная система и солнечный парус в проект не входят. Освещение обитаемого объёма обеспечивается исключительно осевыми светотепловыми балками от реакторной установки во всех режимах эксплуатации.</w:t>
      </w:r>
    </w:p>
    <w:p>
      <w:pPr>
        <w:pageBreakBefore w:val="0"/>
        <w:spacing w:after="80" w:line="269" w:lineRule="auto"/>
        <w:ind w:firstLine="397"/>
        <w:jc w:val="both"/>
      </w:pPr>
      <w:r>
        <w:rPr>
          <w:rFonts w:ascii="Times New Roman" w:hAnsi="Times New Roman" w:eastAsia="Times New Roman"/>
          <w:b w:val="0"/>
          <w:i w:val="0"/>
          <w:color w:val="20252B"/>
          <w:sz w:val="20"/>
        </w:rPr>
        <w:t>Световой поток к стенкам составляет 186 ГВт и обеспечивается единственным источником — осевыми светотепловыми балками. Одноисточниковая схема используется во всех режимах и не требует солнечного освещения внутренних объёмов.</w:t>
      </w:r>
    </w:p>
    <w:p>
      <w:pPr>
        <w:pStyle w:val="Heading3"/>
        <w:keepNext/>
        <w:pageBreakBefore w:val="0"/>
        <w:spacing w:after="40"/>
        <w:jc w:val="left"/>
      </w:pPr>
      <w:r>
        <w:rPr>
          <w:rFonts w:ascii="Times New Roman" w:hAnsi="Times New Roman" w:eastAsia="Times New Roman"/>
          <w:b/>
          <w:i w:val="0"/>
          <w:color w:val="B56B3C"/>
          <w:sz w:val="22"/>
        </w:rPr>
        <w:t>4.13.7. Теплоотвод: сохранение холодной задней полусферы</w:t>
      </w:r>
    </w:p>
    <w:p>
      <w:pPr>
        <w:pageBreakBefore w:val="0"/>
        <w:spacing w:after="80" w:line="269" w:lineRule="auto"/>
        <w:ind w:firstLine="397"/>
        <w:jc w:val="both"/>
      </w:pPr>
      <w:r>
        <w:rPr>
          <w:rFonts w:ascii="Times New Roman" w:hAnsi="Times New Roman" w:eastAsia="Times New Roman"/>
          <w:b w:val="0"/>
          <w:i w:val="0"/>
          <w:color w:val="20252B"/>
          <w:sz w:val="2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Холодный контур от балки проходит через задний подшипниковый узел снаружи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Тепло подаётся в тепловые насосы, поднимающие его температуру с 25 °C до 60 °C, и далее в радиаторные панели (состав площадей — таблица 4.3).</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Вакуумная изоляция удерживает перепад между наружным радиатором 60 °C и внутренним объёмом +5…+15 °C, сохраняя режим складов и промышленных модулей.</w:t>
      </w:r>
    </w:p>
    <w:p>
      <w:pPr>
        <w:pageBreakBefore w:val="0"/>
        <w:spacing w:after="80" w:line="269" w:lineRule="auto"/>
        <w:ind w:firstLine="397"/>
        <w:jc w:val="both"/>
      </w:pPr>
      <w:r>
        <w:rPr>
          <w:rFonts w:ascii="Times New Roman" w:hAnsi="Times New Roman" w:eastAsia="Times New Roman"/>
          <w:b w:val="0"/>
          <w:i w:val="0"/>
          <w:color w:val="20252B"/>
          <w:sz w:val="2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pStyle w:val="Heading3"/>
        <w:keepNext/>
        <w:pageBreakBefore w:val="0"/>
        <w:spacing w:after="40"/>
        <w:jc w:val="left"/>
      </w:pPr>
      <w:r>
        <w:rPr>
          <w:rFonts w:ascii="Times New Roman" w:hAnsi="Times New Roman" w:eastAsia="Times New Roman"/>
          <w:b/>
          <w:i w:val="0"/>
          <w:color w:val="B56B3C"/>
          <w:sz w:val="22"/>
        </w:rPr>
        <w:t>4.13.8. Интеграция с существующими системами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Na-K контур: первичный контур ОСБ использует тот же сплав, что и климат-контроль.</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Неподвижная ось: балка — продолжение оси внутрь цилиндра, не нарушает гироскопической стабилизации.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Подшипниковые узлы: через них проходят трубопроводы холодного контура снаружи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Задняя полусфера: внутри остаётся холодной (+5…+15 °C), снаружи размещается радиаторный контур 60 °C на неподвижном выносном узле.</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Холодная зона: получает избыток тепла из тропиков через Na-K-перекачку.</w:t>
      </w:r>
    </w:p>
    <w:p>
      <w:pPr>
        <w:pStyle w:val="Heading3"/>
        <w:keepNext/>
        <w:pageBreakBefore w:val="0"/>
        <w:spacing w:after="40"/>
        <w:jc w:val="left"/>
      </w:pPr>
      <w:r>
        <w:rPr>
          <w:rFonts w:ascii="Times New Roman" w:hAnsi="Times New Roman" w:eastAsia="Times New Roman"/>
          <w:b/>
          <w:i w:val="0"/>
          <w:color w:val="B56B3C"/>
          <w:sz w:val="22"/>
        </w:rPr>
        <w:t>4.13.9. Топливный цикл автономного полёта</w:t>
      </w:r>
    </w:p>
    <w:p>
      <w:pPr>
        <w:pageBreakBefore w:val="0"/>
        <w:spacing w:after="80" w:line="269" w:lineRule="auto"/>
        <w:ind w:firstLine="397"/>
        <w:jc w:val="both"/>
      </w:pPr>
      <w:r>
        <w:rPr>
          <w:rFonts w:ascii="Times New Roman" w:hAnsi="Times New Roman" w:eastAsia="Times New Roman"/>
          <w:b w:val="0"/>
          <w:i w:val="0"/>
          <w:color w:val="20252B"/>
          <w:sz w:val="2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pageBreakBefore w:val="0"/>
        <w:spacing w:after="80" w:line="269" w:lineRule="auto"/>
        <w:ind w:firstLine="397"/>
        <w:jc w:val="both"/>
      </w:pPr>
      <w:r>
        <w:rPr>
          <w:rFonts w:ascii="Times New Roman" w:hAnsi="Times New Roman" w:eastAsia="Times New Roman"/>
          <w:b w:val="0"/>
          <w:i w:val="0"/>
          <w:color w:val="20252B"/>
          <w:sz w:val="20"/>
        </w:rPr>
        <w:t>Солнечные батареи являются отдельным вспомогательным источником на шести поворотных раскрывающихся крыльях неподвижных задних рам — по три на цилиндр. Суммарная площадь 586,8 км² сохраняется, площадь одного крыла составляет около 97,8 км², расчётная мощность — около 8,9 ГВт. Крылья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 При отказе одного крыла остаётся 83,3 % вспомогательной мощности.</w:t>
      </w:r>
    </w:p>
    <w:p>
      <w:pPr>
        <w:pStyle w:val="Heading3"/>
        <w:keepNext/>
        <w:pageBreakBefore w:val="0"/>
        <w:spacing w:after="40"/>
        <w:jc w:val="left"/>
      </w:pPr>
      <w:r>
        <w:rPr>
          <w:rFonts w:ascii="Times New Roman" w:hAnsi="Times New Roman" w:eastAsia="Times New Roman"/>
          <w:b/>
          <w:i w:val="0"/>
          <w:color w:val="B56B3C"/>
          <w:sz w:val="22"/>
        </w:rPr>
        <w:t>4.13.10. Резервирование и надёжность</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Дублирование реакторов: 2 независимых реактора на цилиндр.</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Аварийные LED-матрицы на аккумуляторах (72 ч автономной работы).</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Биореакторы спирулины и хлореллы переходят на минимальный режим при снижении освещённости.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pStyle w:val="Heading3"/>
        <w:keepNext/>
        <w:pageBreakBefore w:val="0"/>
        <w:spacing w:after="40"/>
        <w:jc w:val="left"/>
      </w:pPr>
      <w:r>
        <w:rPr>
          <w:rFonts w:ascii="Times New Roman" w:hAnsi="Times New Roman" w:eastAsia="Times New Roman"/>
          <w:b/>
          <w:i w:val="0"/>
          <w:color w:val="B56B3C"/>
          <w:sz w:val="22"/>
        </w:rPr>
        <w:t>4.13.11. Тепловое зонирование приосевого объёма</w:t>
      </w:r>
    </w:p>
    <w:p>
      <w:pPr>
        <w:pageBreakBefore w:val="0"/>
        <w:spacing w:after="80" w:line="269" w:lineRule="auto"/>
        <w:ind w:firstLine="397"/>
        <w:jc w:val="both"/>
      </w:pPr>
      <w:r>
        <w:rPr>
          <w:rFonts w:ascii="Times New Roman" w:hAnsi="Times New Roman" w:eastAsia="Times New Roman"/>
          <w:b w:val="0"/>
          <w:i w:val="0"/>
          <w:color w:val="20252B"/>
          <w:sz w:val="20"/>
        </w:rPr>
        <w:t>Маршрут «ось — обод» не проходит через приосевой объём, где размещается осевая светотепловая балка. Переход выполняется по защищённой наклонной шахте внутри торцевого купола.</w:t>
      </w:r>
    </w:p>
    <w:p>
      <w:pPr>
        <w:pageBreakBefore w:val="0"/>
        <w:spacing w:after="80" w:line="269" w:lineRule="auto"/>
        <w:ind w:firstLine="397"/>
        <w:jc w:val="both"/>
      </w:pPr>
      <w:r>
        <w:rPr>
          <w:rFonts w:ascii="Times New Roman" w:hAnsi="Times New Roman" w:eastAsia="Times New Roman"/>
          <w:b w:val="0"/>
          <w:i w:val="0"/>
          <w:color w:val="20252B"/>
          <w:sz w:val="20"/>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pageBreakBefore w:val="0"/>
        <w:spacing w:after="80" w:line="269" w:lineRule="auto"/>
        <w:ind w:firstLine="397"/>
        <w:jc w:val="both"/>
      </w:pPr>
      <w:r>
        <w:rPr>
          <w:rFonts w:ascii="Times New Roman" w:hAnsi="Times New Roman" w:eastAsia="Times New Roman"/>
          <w:b w:val="0"/>
          <w:i w:val="0"/>
          <w:color w:val="20252B"/>
          <w:sz w:val="20"/>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 = 148 Вт/м²)), что подтверждает согласованность расчёта с энергобалансом п. 4.13.6.</w:t>
      </w:r>
    </w:p>
    <w:p>
      <w:pPr>
        <w:pageBreakBefore w:val="0"/>
        <w:spacing w:after="80" w:line="269" w:lineRule="auto"/>
        <w:ind w:firstLine="397"/>
        <w:jc w:val="both"/>
      </w:pPr>
      <w:r>
        <w:rPr>
          <w:rFonts w:ascii="Times New Roman" w:hAnsi="Times New Roman" w:eastAsia="Times New Roman"/>
          <w:b w:val="0"/>
          <w:i w:val="0"/>
          <w:color w:val="20252B"/>
          <w:sz w:val="20"/>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pageBreakBefore w:val="0"/>
        <w:spacing w:after="80" w:line="269" w:lineRule="auto"/>
        <w:ind w:firstLine="397"/>
        <w:jc w:val="both"/>
      </w:pPr>
      <w:r>
        <w:rPr>
          <w:rFonts w:ascii="Times New Roman" w:hAnsi="Times New Roman" w:eastAsia="Times New Roman"/>
          <w:b w:val="0"/>
          <w:i w:val="0"/>
          <w:color w:val="20252B"/>
          <w:sz w:val="20"/>
        </w:rPr>
        <w:t>Проект предусматривает три следствия. Свободный полёт в невесомости у оси как вид досуга не предусматривается. Причал находится на неподвижной раме снаружи торца;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оказываясь в приосевом объёме и не видя балки. Конструкция купола на этом участке содержит гермопереборку и вакуумный зазор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pStyle w:val="Heading2"/>
        <w:keepNext/>
        <w:pageBreakBefore w:val="0"/>
        <w:spacing w:after="40"/>
        <w:jc w:val="left"/>
      </w:pPr>
      <w:r>
        <w:rPr>
          <w:rFonts w:ascii="Times New Roman" w:hAnsi="Times New Roman" w:eastAsia="Times New Roman"/>
          <w:b/>
          <w:i w:val="0"/>
          <w:color w:val="2F5D83"/>
          <w:sz w:val="25"/>
        </w:rPr>
        <w:t>4.14. Водный баланс и замкнутый цикл водоснабжения</w:t>
      </w:r>
    </w:p>
    <w:p>
      <w:pPr>
        <w:pageBreakBefore w:val="0"/>
        <w:spacing w:after="80" w:line="269" w:lineRule="auto"/>
        <w:ind w:firstLine="709"/>
        <w:jc w:val="both"/>
      </w:pPr>
      <w:r>
        <w:rPr>
          <w:rFonts w:ascii="Times New Roman" w:hAnsi="Times New Roman" w:eastAsia="Times New Roman"/>
          <w:b w:val="0"/>
          <w:i w:val="0"/>
          <w:color w:val="20252B"/>
          <w:sz w:val="20"/>
        </w:rPr>
        <w:t>В замкнутой среде цилиндра вода не покидает систему. Полный цикл включает: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Канализация — двухконтурная система: бытовые стоки → очистные биореакторы → техническая вода (орошение) / питьевая вода. Ливневые стоки отсутствуют.</w:t>
      </w:r>
    </w:p>
    <w:p>
      <w:pPr>
        <w:pageBreakBefore w:val="0"/>
        <w:spacing w:after="40"/>
        <w:ind w:firstLine="709"/>
        <w:jc w:val="both"/>
      </w:pPr>
      <w:r>
        <w:rPr>
          <w:rFonts w:ascii="Times New Roman" w:hAnsi="Times New Roman"/>
        </w:rPr>
        <w:br w:type="page"/>
      </w:r>
    </w:p>
    <w:p>
      <w:pPr>
        <w:pStyle w:val="Heading2"/>
        <w:keepNext/>
        <w:pageBreakBefore w:val="0"/>
        <w:spacing w:after="40"/>
        <w:jc w:val="left"/>
      </w:pPr>
      <w:r>
        <w:rPr>
          <w:rFonts w:ascii="Times New Roman" w:hAnsi="Times New Roman" w:eastAsia="Times New Roman"/>
          <w:b/>
          <w:i w:val="0"/>
          <w:color w:val="2F5D83"/>
          <w:sz w:val="25"/>
        </w:rPr>
        <w:t>4.15. Устойчивость формы оболочки</w:t>
      </w:r>
    </w:p>
    <w:p>
      <w:pPr>
        <w:pageBreakBefore w:val="0"/>
        <w:spacing w:after="80" w:line="269" w:lineRule="auto"/>
        <w:ind w:firstLine="397"/>
        <w:jc w:val="both"/>
      </w:pPr>
      <w:r>
        <w:rPr>
          <w:rFonts w:ascii="Times New Roman" w:hAnsi="Times New Roman" w:eastAsia="Times New Roman"/>
          <w:b w:val="0"/>
          <w:i w:val="0"/>
          <w:color w:val="20252B"/>
          <w:sz w:val="20"/>
        </w:rPr>
        <w:t>Теплолюбивые овощи, зелень и грибы размещаются в тропической и субтропической зонах; холодная зона используется для морозостойких культур, хранения и низкотемпературных производств.</w:t>
      </w:r>
    </w:p>
    <w:p>
      <w:pPr>
        <w:pageBreakBefore w:val="0"/>
        <w:spacing w:after="80" w:line="269" w:lineRule="auto"/>
        <w:ind w:firstLine="397"/>
        <w:jc w:val="both"/>
      </w:pPr>
      <w:r>
        <w:rPr>
          <w:rFonts w:ascii="Times New Roman" w:hAnsi="Times New Roman" w:eastAsia="Times New Roman"/>
          <w:b w:val="0"/>
          <w:i w:val="0"/>
          <w:color w:val="20252B"/>
          <w:sz w:val="20"/>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pageBreakBefore w:val="0"/>
        <w:spacing w:after="80" w:line="269" w:lineRule="auto"/>
        <w:ind w:firstLine="397"/>
        <w:jc w:val="both"/>
      </w:pPr>
      <w:r>
        <w:rPr>
          <w:rFonts w:ascii="Times New Roman" w:hAnsi="Times New Roman" w:eastAsia="Times New Roman"/>
          <w:b w:val="0"/>
          <w:i w:val="0"/>
          <w:color w:val="20252B"/>
          <w:sz w:val="20"/>
        </w:rPr>
        <w:t>Расчёт напряжений подтверждает вывод. Отдельно полезная внешняя нагрузка qext = 152,6 кПа даёт около 898 МПа кольцевого напряжения. Для проектного расчёта к ней добавлены собственные веса гермооболочки, изоляции и силового пояса: qtotal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pageBreakBefore w:val="0"/>
        <w:spacing w:after="80" w:line="269" w:lineRule="auto"/>
        <w:ind w:firstLine="397"/>
        <w:jc w:val="both"/>
      </w:pPr>
      <w:r>
        <w:rPr>
          <w:rFonts w:ascii="Times New Roman" w:hAnsi="Times New Roman" w:eastAsia="Times New Roman"/>
          <w:b w:val="0"/>
          <w:i w:val="0"/>
          <w:color w:val="20252B"/>
          <w:sz w:val="20"/>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pageBreakBefore w:val="0"/>
        <w:spacing w:after="80" w:line="269" w:lineRule="auto"/>
        <w:ind w:firstLine="397"/>
        <w:jc w:val="both"/>
      </w:pPr>
      <w:r>
        <w:rPr>
          <w:rFonts w:ascii="Times New Roman" w:hAnsi="Times New Roman" w:eastAsia="Times New Roman"/>
          <w:b w:val="0"/>
          <w:i w:val="0"/>
          <w:color w:val="20252B"/>
          <w:sz w:val="20"/>
        </w:rPr>
        <w:t>При остановке вращения грунт перестаёт нагружать оболочку, поскольку без центробежного ускорения он ничего не весит. Оставшаяся нагрузка — внутренний наддув 100 кПа, создающий кольцевое напряжение 588 МПа. Это напряжение растягивающее, а потеря устойчивости является явлением сжатия. Следовательно, наддутая оболочка сохраняет форму и без вращения, а сам наддув выступает стабилизирующим фактором.</w:t>
      </w:r>
    </w:p>
    <w:p>
      <w:pPr>
        <w:pageBreakBefore w:val="0"/>
        <w:spacing w:after="80" w:line="269" w:lineRule="auto"/>
        <w:ind w:firstLine="397"/>
        <w:jc w:val="both"/>
      </w:pPr>
      <w:r>
        <w:rPr>
          <w:rFonts w:ascii="Times New Roman" w:hAnsi="Times New Roman" w:eastAsia="Times New Roman"/>
          <w:b w:val="0"/>
          <w:i w:val="0"/>
          <w:color w:val="20252B"/>
          <w:sz w:val="20"/>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pStyle w:val="Heading1"/>
        <w:keepNext/>
        <w:pageBreakBefore w:val="0"/>
        <w:spacing w:after="40"/>
        <w:jc w:val="left"/>
      </w:pPr>
      <w:r>
        <w:rPr>
          <w:rFonts w:ascii="Times New Roman" w:hAnsi="Times New Roman" w:eastAsia="Times New Roman"/>
          <w:b/>
          <w:i w:val="0"/>
          <w:color w:val="1F3A5F"/>
          <w:sz w:val="30"/>
        </w:rPr>
        <w:t>5. ПРОДОВОЛЬСТВЕННЫЙ БАЛАНС И ЭФФЕКТИВНОСТЬ БИОСФЕРЫ</w:t>
      </w:r>
    </w:p>
    <w:p>
      <w:pPr>
        <w:pStyle w:val="Heading2"/>
        <w:keepNext/>
        <w:pageBreakBefore w:val="0"/>
        <w:spacing w:after="40"/>
        <w:jc w:val="left"/>
      </w:pPr>
      <w:r>
        <w:rPr>
          <w:rFonts w:ascii="Times New Roman" w:hAnsi="Times New Roman" w:eastAsia="Times New Roman"/>
          <w:b/>
          <w:i w:val="0"/>
          <w:color w:val="2F5D83"/>
          <w:sz w:val="25"/>
        </w:rPr>
        <w:t>5.1. Нормы потребления и сводный баланс продовольствия</w:t>
      </w:r>
    </w:p>
    <w:p>
      <w:pPr>
        <w:pageBreakBefore w:val="0"/>
        <w:spacing w:after="80" w:line="269" w:lineRule="auto"/>
        <w:ind w:firstLine="709"/>
        <w:jc w:val="both"/>
      </w:pPr>
      <w:r>
        <w:rPr>
          <w:rFonts w:ascii="Times New Roman" w:hAnsi="Times New Roman" w:eastAsia="Times New Roman"/>
          <w:b w:val="0"/>
          <w:i w:val="0"/>
          <w:color w:val="20252B"/>
          <w:sz w:val="20"/>
        </w:rPr>
        <w:t>Два цилиндра, население 1 000 000 человек.</w:t>
      </w:r>
    </w:p>
    <w:p>
      <w:pPr>
        <w:pageBreakBefore w:val="0"/>
        <w:spacing w:after="80" w:line="269" w:lineRule="auto"/>
        <w:ind w:firstLine="397"/>
        <w:jc w:val="both"/>
      </w:pPr>
      <w:r>
        <w:rPr>
          <w:rFonts w:ascii="Times New Roman" w:hAnsi="Times New Roman" w:eastAsia="Times New Roman"/>
          <w:b w:val="0"/>
          <w:i w:val="0"/>
          <w:color w:val="20252B"/>
          <w:sz w:val="20"/>
        </w:rPr>
        <w:t>Норма питания принята равной 2 800 ккал в сутки на человека; она используется в продовольственном балансе для расчётного населения станции.</w:t>
      </w:r>
    </w:p>
    <w:p>
      <w:pPr>
        <w:pStyle w:val="Caption"/>
        <w:keepNext w:val="0"/>
        <w:pageBreakBefore w:val="0"/>
        <w:spacing w:after="100" w:before="100"/>
        <w:jc w:val="center"/>
      </w:pPr>
      <w:r>
        <w:rPr>
          <w:rFonts w:ascii="Times New Roman" w:hAnsi="Times New Roman" w:eastAsia="Times New Roman"/>
          <w:b/>
          <w:i/>
          <w:color w:val="667085"/>
          <w:sz w:val="17"/>
        </w:rPr>
        <w:t>Таблица 5.1 — Принятые нормы потребления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Показатель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Норма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Обоснование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Энергетическая ценность</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2 800 ккал/сут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Повышенная относительно средней (2 500) с учётом доли физического труда в сельском хозяйстве и промышленности станции</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 г/сут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Верхняя граница нормы ВОЗ (50–70 г), с запасом на качество аминокислотного состава растительного белка</w:t>
            </w:r>
          </w:p>
        </w:tc>
      </w:tr>
    </w:tbl>
    <w:p>
      <w:pPr>
        <w:pageBreakBefore w:val="0"/>
        <w:spacing w:after="80" w:line="269" w:lineRule="auto"/>
        <w:ind w:firstLine="397"/>
        <w:jc w:val="both"/>
      </w:pPr>
      <w:r>
        <w:rPr>
          <w:rFonts w:ascii="Times New Roman" w:hAnsi="Times New Roman" w:eastAsia="Times New Roman"/>
          <w:b w:val="0"/>
          <w:i w:val="0"/>
          <w:color w:val="20252B"/>
          <w:sz w:val="2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pStyle w:val="Caption"/>
        <w:keepNext w:val="0"/>
        <w:pageBreakBefore w:val="0"/>
        <w:spacing w:after="100" w:before="100"/>
        <w:jc w:val="center"/>
      </w:pPr>
      <w:r>
        <w:rPr>
          <w:rFonts w:ascii="Times New Roman" w:hAnsi="Times New Roman" w:eastAsia="Times New Roman"/>
          <w:b/>
          <w:i/>
          <w:color w:val="667085"/>
          <w:sz w:val="17"/>
        </w:rPr>
        <w:t>Таблица 5.2 — Сводный продовольственный баланс</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Показатель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Потребность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 резервом</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Продукция (нетто)</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Запас</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Калории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1,022 трлн ккал/год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1,533 трлн ккал/год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1,870 трлн ккал/год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×1,83</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25,6 тыс.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33,2 тыс.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69,8 тыс.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×2,73</w:t>
            </w:r>
          </w:p>
        </w:tc>
      </w:tr>
    </w:tbl>
    <w:p>
      <w:pPr>
        <w:pageBreakBefore w:val="0"/>
        <w:spacing w:after="80" w:line="269" w:lineRule="auto"/>
        <w:ind w:firstLine="397"/>
        <w:jc w:val="both"/>
      </w:pPr>
      <w:r>
        <w:rPr>
          <w:rFonts w:ascii="Times New Roman" w:hAnsi="Times New Roman" w:eastAsia="Times New Roman"/>
          <w:b w:val="0"/>
          <w:i w:val="0"/>
          <w:color w:val="20252B"/>
          <w:sz w:val="20"/>
        </w:rPr>
        <w:t>Продукция указана после вычета 20 % на потери при уборке, хранении и переработке. Валовые показатели до вычета: 2,338 трлн ккал и 87,2 тыс. т белка.</w:t>
      </w:r>
    </w:p>
    <w:p>
      <w:pPr>
        <w:pStyle w:val="Caption"/>
        <w:keepNext w:val="0"/>
        <w:pageBreakBefore w:val="0"/>
        <w:spacing w:after="100" w:before="100"/>
        <w:jc w:val="center"/>
      </w:pPr>
      <w:r>
        <w:rPr>
          <w:rFonts w:ascii="Times New Roman" w:hAnsi="Times New Roman" w:eastAsia="Times New Roman"/>
          <w:b/>
          <w:i/>
          <w:color w:val="667085"/>
          <w:sz w:val="17"/>
        </w:rPr>
        <w:t>Таблица 5.3 — Товарная продукция животноводства и аквакультуры (два цилиндра)</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Продукция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Объём, т/год</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Примечание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Рыба (тиляпия, тамбаки, толстолобик, сиг)</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70 000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Основной источник животного белка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Молоко (коровье и козье, товарное)</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33 750</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Валовой надой 45 000 т за вычетом 25 % на выпойку молодняка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наземных животных</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8 000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Уточнено по поголовью с учётом оборота стада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Яйца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Куры, перепела, утки, гуси</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Мёд</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2 000 пчелосемей на цилиндр</w:t>
            </w:r>
          </w:p>
        </w:tc>
      </w:tr>
    </w:tbl>
    <w:p>
      <w:pPr>
        <w:pageBreakBefore w:val="0"/>
        <w:spacing w:after="80" w:line="269" w:lineRule="auto"/>
        <w:ind w:firstLine="397"/>
        <w:jc w:val="both"/>
      </w:pPr>
      <w:r>
        <w:rPr>
          <w:rFonts w:ascii="Times New Roman" w:hAnsi="Times New Roman" w:eastAsia="Times New Roman"/>
          <w:b w:val="0"/>
          <w:i w:val="0"/>
          <w:color w:val="20252B"/>
          <w:sz w:val="20"/>
        </w:rPr>
        <w:t>Товарный выход молока составляет 33 750 т в год: валовой надой 45 000 т уменьшается на 25 % для выпойки молодняка.</w:t>
      </w:r>
    </w:p>
    <w:p>
      <w:pPr>
        <w:pageBreakBefore w:val="0"/>
        <w:spacing w:after="80" w:line="269" w:lineRule="auto"/>
        <w:ind w:firstLine="397"/>
        <w:jc w:val="both"/>
      </w:pPr>
      <w:r>
        <w:rPr>
          <w:rFonts w:ascii="Times New Roman" w:hAnsi="Times New Roman" w:eastAsia="Times New Roman"/>
          <w:b w:val="0"/>
          <w:i w:val="0"/>
          <w:color w:val="20252B"/>
          <w:sz w:val="2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pageBreakBefore w:val="0"/>
        <w:spacing w:after="80" w:line="269" w:lineRule="auto"/>
        <w:ind w:firstLine="397"/>
        <w:jc w:val="both"/>
      </w:pPr>
      <w:r>
        <w:rPr>
          <w:rFonts w:ascii="Times New Roman" w:hAnsi="Times New Roman" w:eastAsia="Times New Roman"/>
          <w:b w:val="0"/>
          <w:i w:val="0"/>
          <w:color w:val="20252B"/>
          <w:sz w:val="2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pStyle w:val="Heading2"/>
        <w:keepNext/>
        <w:pageBreakBefore w:val="0"/>
        <w:spacing w:after="40"/>
        <w:jc w:val="left"/>
      </w:pPr>
      <w:r>
        <w:rPr>
          <w:rFonts w:ascii="Times New Roman" w:hAnsi="Times New Roman" w:eastAsia="Times New Roman"/>
          <w:b/>
          <w:i w:val="0"/>
          <w:color w:val="2F5D83"/>
          <w:sz w:val="25"/>
        </w:rPr>
        <w:t>5.2. Структура посевных площадей и продуктивность</w:t>
      </w:r>
    </w:p>
    <w:p>
      <w:pPr>
        <w:pStyle w:val="Caption"/>
        <w:keepNext w:val="0"/>
        <w:pageBreakBefore w:val="0"/>
        <w:spacing w:after="100" w:before="100"/>
        <w:jc w:val="center"/>
      </w:pPr>
      <w:r>
        <w:rPr>
          <w:rFonts w:ascii="Times New Roman" w:hAnsi="Times New Roman" w:eastAsia="Times New Roman"/>
          <w:b/>
          <w:i/>
          <w:color w:val="667085"/>
          <w:sz w:val="17"/>
        </w:rPr>
        <w:t>Таблица 5.4 — Посевные площади и продукция (два цилиндра)</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Культура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км²</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Урожайность, кг/м²·год</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Продукция, т/год</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Ккал, млрд</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Рис</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432</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Кукуруза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657</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Пшеница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170</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Ячмень</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Картофель</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308</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Батат, таро, маниок, ямс</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46</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138 000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124</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Соя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0,35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3 500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16</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Прочие бобовые (нут, чечевица, фасоль, горох)</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36</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0,30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10 800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38</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320 000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Фрукты и ягоды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Масличные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75</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Зелень и пряности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75 000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Водоросли (нори, ламинария)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21</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807</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1 822 300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2 216</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80000" cy="449214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17 — продовольственный баланс и структура посевных площадей</w:t>
      </w:r>
    </w:p>
    <w:p>
      <w:pPr>
        <w:pageBreakBefore w:val="0"/>
        <w:spacing w:after="80" w:line="269" w:lineRule="auto"/>
        <w:ind w:firstLine="397"/>
        <w:jc w:val="both"/>
      </w:pPr>
      <w:r>
        <w:rPr>
          <w:rFonts w:ascii="Times New Roman" w:hAnsi="Times New Roman" w:eastAsia="Times New Roman"/>
          <w:b w:val="0"/>
          <w:i w:val="0"/>
          <w:color w:val="20252B"/>
          <w:sz w:val="2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pStyle w:val="Caption"/>
        <w:keepNext w:val="0"/>
        <w:pageBreakBefore w:val="0"/>
        <w:spacing w:after="100" w:before="100"/>
        <w:jc w:val="center"/>
      </w:pPr>
      <w:r>
        <w:rPr>
          <w:rFonts w:ascii="Times New Roman" w:hAnsi="Times New Roman" w:eastAsia="Times New Roman"/>
          <w:b/>
          <w:i/>
          <w:color w:val="667085"/>
          <w:sz w:val="17"/>
        </w:rPr>
        <w:t>Таблица 5.5 — Баланс землепользования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км²</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Посевные площади (таблица 5.4)</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807</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53 %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Рыбные бассейны</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Резерв быстрых аварийных культур</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сельскохозяйственное использование</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972</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64 %</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Свободный резерв (расширение, рекреация, застройка)</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536</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Всего сельхозугодий двух цилиндров</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1 508</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w:t>
            </w:r>
          </w:p>
        </w:tc>
      </w:tr>
    </w:tbl>
    <w:p>
      <w:pPr>
        <w:pageBreakBefore w:val="0"/>
        <w:spacing w:after="40"/>
        <w:jc w:val="center"/>
      </w:pPr>
      <w:r>
        <w:rPr>
          <w:rFonts w:ascii="Times New Roman" w:hAnsi="Times New Roman"/>
        </w:rP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20000" cy="175575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18 — структура использования площадей</w:t>
      </w:r>
    </w:p>
    <w:p>
      <w:pPr>
        <w:pageBreakBefore w:val="0"/>
        <w:spacing w:after="80" w:line="269" w:lineRule="auto"/>
        <w:ind w:firstLine="397"/>
        <w:jc w:val="both"/>
      </w:pPr>
      <w:r>
        <w:rPr>
          <w:rFonts w:ascii="Times New Roman" w:hAnsi="Times New Roman" w:eastAsia="Times New Roman"/>
          <w:b w:val="0"/>
          <w:i w:val="0"/>
          <w:color w:val="20252B"/>
          <w:sz w:val="2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pStyle w:val="Heading2"/>
        <w:keepNext/>
        <w:pageBreakBefore w:val="0"/>
        <w:spacing w:after="40"/>
        <w:jc w:val="left"/>
      </w:pPr>
      <w:r>
        <w:rPr>
          <w:rFonts w:ascii="Times New Roman" w:hAnsi="Times New Roman" w:eastAsia="Times New Roman"/>
          <w:b/>
          <w:i w:val="0"/>
          <w:color w:val="2F5D83"/>
          <w:sz w:val="25"/>
        </w:rPr>
        <w:t>5.3. Структура продовольственного резерва и система хранения</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Тип резерва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Срок</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Форма хранения</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Объём</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Условия</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Операционный</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 мес.</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Сухое зерно, масло, консервы, мука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×1,15–1,25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Гермобункеры задней полусферы, +5…+10 °C, азотная атмосфера</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Страховой</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 года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Сухое зерно, сухое молоко, соевый изолят, заморозка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Подгрунтовые хранилища, −5…−15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Аварийный</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лет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Растительное масло, белковые концентраты, сухофрукты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×0,3</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Морозильные камеры задней полусферы, герметичные резервуары</w:t>
            </w:r>
          </w:p>
        </w:tc>
      </w:tr>
    </w:tbl>
    <w:p>
      <w:pPr>
        <w:pageBreakBefore w:val="0"/>
        <w:spacing w:after="80" w:line="269" w:lineRule="auto"/>
        <w:ind w:firstLine="709"/>
        <w:jc w:val="both"/>
      </w:pPr>
      <w:r>
        <w:rPr>
          <w:rFonts w:ascii="Times New Roman" w:hAnsi="Times New Roman" w:eastAsia="Times New Roman"/>
          <w:b w:val="0"/>
          <w:i w:val="0"/>
          <w:color w:val="20252B"/>
          <w:sz w:val="20"/>
        </w:rPr>
        <w:t>Формы хранения, не подверженные порче в стерильной среде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Растительное масло в герметичных резервуарах из нержавеющей стали — десятилетия при отсутствии кислорода и света.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Сухое молоко, соевый изолят, яичный порошок — компактные источники белка, срок 3–5 лет.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pStyle w:val="Heading2"/>
        <w:keepNext/>
        <w:pageBreakBefore w:val="0"/>
        <w:spacing w:after="40"/>
        <w:jc w:val="left"/>
      </w:pPr>
      <w:r>
        <w:rPr>
          <w:rFonts w:ascii="Times New Roman" w:hAnsi="Times New Roman" w:eastAsia="Times New Roman"/>
          <w:b/>
          <w:i w:val="0"/>
          <w:color w:val="2F5D83"/>
          <w:sz w:val="25"/>
        </w:rPr>
        <w:t>5.4. Обоснование объёма резервов в стерильной замкнутой среде</w:t>
      </w:r>
    </w:p>
    <w:p>
      <w:pPr>
        <w:pageBreakBefore w:val="0"/>
        <w:spacing w:after="80" w:line="269" w:lineRule="auto"/>
        <w:ind w:firstLine="397"/>
        <w:jc w:val="both"/>
      </w:pPr>
      <w:r>
        <w:rPr>
          <w:rFonts w:ascii="Times New Roman" w:hAnsi="Times New Roman" w:eastAsia="Times New Roman"/>
          <w:b w:val="0"/>
          <w:i w:val="0"/>
          <w:color w:val="20252B"/>
          <w:sz w:val="2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keepNext/>
        <w:pageBreakBefore w:val="0"/>
        <w:spacing w:after="60"/>
        <w:ind w:left="280" w:hanging="200"/>
        <w:jc w:val="both"/>
      </w:pPr>
      <w:r>
        <w:rPr>
          <w:rFonts w:ascii="Times New Roman" w:hAnsi="Times New Roman" w:eastAsia="Times New Roman"/>
          <w:b/>
          <w:i w:val="0"/>
          <w:color w:val="1F3A5F"/>
          <w:sz w:val="3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keepNext/>
        <w:pageBreakBefore w:val="0"/>
        <w:spacing w:after="60"/>
        <w:ind w:left="280" w:hanging="200"/>
        <w:jc w:val="both"/>
      </w:pPr>
      <w:r>
        <w:rPr>
          <w:rFonts w:ascii="Times New Roman" w:hAnsi="Times New Roman" w:eastAsia="Times New Roman"/>
          <w:b/>
          <w:i w:val="0"/>
          <w:color w:val="1F3A5F"/>
          <w:sz w:val="3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keepNext/>
        <w:pageBreakBefore w:val="0"/>
        <w:spacing w:after="60"/>
        <w:ind w:left="280" w:hanging="200"/>
        <w:jc w:val="both"/>
      </w:pPr>
      <w:r>
        <w:rPr>
          <w:rFonts w:ascii="Times New Roman" w:hAnsi="Times New Roman" w:eastAsia="Times New Roman"/>
          <w:b/>
          <w:i w:val="0"/>
          <w:color w:val="1F3A5F"/>
          <w:sz w:val="3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keepNext/>
        <w:pageBreakBefore w:val="0"/>
        <w:spacing w:after="60"/>
        <w:ind w:left="280" w:hanging="200"/>
        <w:jc w:val="both"/>
      </w:pPr>
      <w:r>
        <w:rPr>
          <w:rFonts w:ascii="Times New Roman" w:hAnsi="Times New Roman" w:eastAsia="Times New Roman"/>
          <w:b/>
          <w:i w:val="0"/>
          <w:color w:val="1F3A5F"/>
          <w:sz w:val="3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keepNext/>
        <w:pageBreakBefore w:val="0"/>
        <w:spacing w:after="60"/>
        <w:ind w:left="280" w:hanging="200"/>
        <w:jc w:val="both"/>
      </w:pPr>
      <w:r>
        <w:rPr>
          <w:rFonts w:ascii="Times New Roman" w:hAnsi="Times New Roman" w:eastAsia="Times New Roman"/>
          <w:b/>
          <w:i w:val="0"/>
          <w:color w:val="1F3A5F"/>
          <w:sz w:val="3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pStyle w:val="Caption"/>
        <w:keepNext w:val="0"/>
        <w:pageBreakBefore w:val="0"/>
        <w:spacing w:after="100" w:before="100"/>
        <w:jc w:val="center"/>
      </w:pPr>
      <w:r>
        <w:rPr>
          <w:rFonts w:ascii="Times New Roman" w:hAnsi="Times New Roman" w:eastAsia="Times New Roman"/>
          <w:b/>
          <w:i/>
          <w:color w:val="667085"/>
          <w:sz w:val="17"/>
        </w:rPr>
        <w:t>Таблица 5.6 — Расчёт необходимого буфера по времени восстановления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Рисковый сценарий</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 восстановления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Требуемый запас</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Локальный пожар / поломка одной зоны</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 месяцев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×1,15–1,2</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Повреждение 30–50 % площади одного цилиндра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 года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Глобальный сбой энергии</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 лет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 (концентраты)</w:t>
            </w:r>
          </w:p>
        </w:tc>
      </w:tr>
    </w:tbl>
    <w:p>
      <w:pPr>
        <w:pageBreakBefore w:val="0"/>
        <w:spacing w:after="80" w:line="269" w:lineRule="auto"/>
        <w:ind w:firstLine="397"/>
        <w:jc w:val="both"/>
      </w:pPr>
      <w:r>
        <w:rPr>
          <w:rFonts w:ascii="Times New Roman" w:hAnsi="Times New Roman" w:eastAsia="Times New Roman"/>
          <w:b w:val="0"/>
          <w:i w:val="0"/>
          <w:color w:val="20252B"/>
          <w:sz w:val="2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пережить 18–24 месяца без сокращения рациона при полном отказе одного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прокормить всё население при локальном пожаре или сезонном сбое без мобилизации аварийных фондов.</w:t>
      </w:r>
    </w:p>
    <w:p>
      <w:pPr>
        <w:pageBreakBefore w:val="0"/>
        <w:spacing w:after="80" w:line="269" w:lineRule="auto"/>
        <w:ind w:firstLine="709"/>
        <w:jc w:val="both"/>
      </w:pPr>
      <w:r>
        <w:rPr>
          <w:rFonts w:ascii="Times New Roman" w:hAnsi="Times New Roman" w:eastAsia="Times New Roman"/>
          <w:b w:val="0"/>
          <w:i w:val="0"/>
          <w:color w:val="20252B"/>
          <w:sz w:val="20"/>
        </w:rPr>
        <w:t>Принцип FIFO (First In — First Out)</w:t>
      </w:r>
    </w:p>
    <w:p>
      <w:pPr>
        <w:pageBreakBefore w:val="0"/>
        <w:spacing w:after="80" w:line="269" w:lineRule="auto"/>
        <w:ind w:firstLine="397"/>
        <w:jc w:val="both"/>
      </w:pPr>
      <w:r>
        <w:rPr>
          <w:rFonts w:ascii="Times New Roman" w:hAnsi="Times New Roman" w:eastAsia="Times New Roman"/>
          <w:b w:val="0"/>
          <w:i w:val="0"/>
          <w:color w:val="20252B"/>
          <w:sz w:val="2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pStyle w:val="Heading2"/>
        <w:keepNext/>
        <w:pageBreakBefore w:val="0"/>
        <w:spacing w:after="40"/>
        <w:jc w:val="left"/>
      </w:pPr>
      <w:r>
        <w:rPr>
          <w:rFonts w:ascii="Times New Roman" w:hAnsi="Times New Roman" w:eastAsia="Times New Roman"/>
          <w:b/>
          <w:i w:val="0"/>
          <w:color w:val="2F5D83"/>
          <w:sz w:val="25"/>
        </w:rPr>
        <w:t>5.5. Аварийные быстровозобновляемые ресурсы</w:t>
      </w:r>
    </w:p>
    <w:p>
      <w:pPr>
        <w:pageBreakBefore w:val="0"/>
        <w:spacing w:after="80" w:line="269" w:lineRule="auto"/>
        <w:ind w:firstLine="397"/>
        <w:jc w:val="both"/>
      </w:pPr>
      <w:r>
        <w:rPr>
          <w:rFonts w:ascii="Times New Roman" w:hAnsi="Times New Roman" w:eastAsia="Times New Roman"/>
          <w:b w:val="0"/>
          <w:i w:val="0"/>
          <w:color w:val="20252B"/>
          <w:sz w:val="2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keepNext/>
        <w:pageBreakBefore w:val="0"/>
        <w:spacing w:after="60"/>
        <w:ind w:left="280" w:hanging="200"/>
        <w:jc w:val="both"/>
      </w:pPr>
      <w:r>
        <w:rPr>
          <w:rFonts w:ascii="Times New Roman" w:hAnsi="Times New Roman" w:eastAsia="Times New Roman"/>
          <w:b/>
          <w:i w:val="0"/>
          <w:color w:val="1F3A5F"/>
          <w:sz w:val="3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keepNext/>
        <w:pageBreakBefore w:val="0"/>
        <w:spacing w:after="60"/>
        <w:ind w:left="280" w:hanging="200"/>
        <w:jc w:val="both"/>
      </w:pPr>
      <w:r>
        <w:rPr>
          <w:rFonts w:ascii="Times New Roman" w:hAnsi="Times New Roman" w:eastAsia="Times New Roman"/>
          <w:b/>
          <w:i w:val="0"/>
          <w:color w:val="1F3A5F"/>
          <w:sz w:val="3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keepNext/>
        <w:pageBreakBefore w:val="0"/>
        <w:spacing w:after="60"/>
        <w:ind w:left="280" w:hanging="200"/>
        <w:jc w:val="both"/>
      </w:pPr>
      <w:r>
        <w:rPr>
          <w:rFonts w:ascii="Times New Roman" w:hAnsi="Times New Roman" w:eastAsia="Times New Roman"/>
          <w:b/>
          <w:i w:val="0"/>
          <w:color w:val="1F3A5F"/>
          <w:sz w:val="3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keepNext/>
        <w:pageBreakBefore w:val="0"/>
        <w:spacing w:after="60"/>
        <w:ind w:left="280" w:hanging="200"/>
        <w:jc w:val="both"/>
      </w:pPr>
      <w:r>
        <w:rPr>
          <w:rFonts w:ascii="Times New Roman" w:hAnsi="Times New Roman" w:eastAsia="Times New Roman"/>
          <w:b/>
          <w:i w:val="0"/>
          <w:color w:val="1F3A5F"/>
          <w:sz w:val="30"/>
        </w:rPr>
        <w:t>4. Картофель и топинамбур в грунте — в умеренной зоне часть урожая оставляется в грунте как «живое хранилище» при температуре до −2 °C.</w:t>
      </w:r>
    </w:p>
    <w:p>
      <w:pPr>
        <w:pageBreakBefore w:val="0"/>
        <w:spacing w:after="40"/>
        <w:ind w:firstLine="709"/>
        <w:jc w:val="both"/>
      </w:pPr>
      <w:r>
        <w:rPr>
          <w:rFonts w:ascii="Times New Roman" w:hAnsi="Times New Roman"/>
        </w:rPr>
        <w:br w:type="page"/>
      </w:r>
    </w:p>
    <w:p>
      <w:pPr>
        <w:pStyle w:val="Heading1"/>
        <w:keepNext/>
        <w:pageBreakBefore w:val="0"/>
        <w:spacing w:after="40"/>
        <w:jc w:val="left"/>
      </w:pPr>
      <w:r>
        <w:rPr>
          <w:rFonts w:ascii="Times New Roman" w:hAnsi="Times New Roman" w:eastAsia="Times New Roman"/>
          <w:b/>
          <w:i w:val="0"/>
          <w:color w:val="1F3A5F"/>
          <w:sz w:val="30"/>
        </w:rPr>
        <w:t>6. СРЕДООБРАЗОВАНИЕ: ПРОЦЕССЫ, ОПРЕДЕЛЯЮЩИЕ ПРИГОДНОСТЬ СРЕДЫ</w:t>
      </w:r>
    </w:p>
    <w:p>
      <w:pPr>
        <w:pageBreakBefore w:val="0"/>
        <w:spacing w:after="80" w:line="269" w:lineRule="auto"/>
        <w:ind w:firstLine="397"/>
        <w:jc w:val="both"/>
      </w:pPr>
      <w:r>
        <w:rPr>
          <w:rFonts w:ascii="Times New Roman" w:hAnsi="Times New Roman" w:eastAsia="Times New Roman"/>
          <w:b w:val="0"/>
          <w:i w:val="0"/>
          <w:color w:val="20252B"/>
          <w:sz w:val="20"/>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Этот раздел фиксирует такие процессы, даёт количественную оценку их параметров и отделяет посчитанное от того, что ещё предстоит считать.</w:t>
      </w:r>
    </w:p>
    <w:p>
      <w:pPr>
        <w:pStyle w:val="Heading2"/>
        <w:keepNext/>
        <w:pageBreakBefore w:val="0"/>
        <w:spacing w:after="40"/>
        <w:jc w:val="left"/>
      </w:pPr>
      <w:r>
        <w:rPr>
          <w:rFonts w:ascii="Times New Roman" w:hAnsi="Times New Roman" w:eastAsia="Times New Roman"/>
          <w:b/>
          <w:i w:val="0"/>
          <w:color w:val="2F5D83"/>
          <w:sz w:val="25"/>
        </w:rPr>
        <w:t>6.1. Газовый баланс: кислород, углекислый газ и следовые примеси</w:t>
      </w:r>
    </w:p>
    <w:p>
      <w:pPr>
        <w:pageBreakBefore w:val="0"/>
        <w:spacing w:after="80" w:line="269" w:lineRule="auto"/>
        <w:ind w:firstLine="397"/>
        <w:jc w:val="both"/>
      </w:pPr>
      <w:r>
        <w:rPr>
          <w:rFonts w:ascii="Times New Roman" w:hAnsi="Times New Roman" w:eastAsia="Times New Roman"/>
          <w:b w:val="0"/>
          <w:i w:val="0"/>
          <w:color w:val="20252B"/>
          <w:sz w:val="20"/>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pageBreakBefore w:val="0"/>
        <w:spacing w:after="80" w:line="269" w:lineRule="auto"/>
        <w:ind w:firstLine="397"/>
        <w:jc w:val="both"/>
      </w:pPr>
      <w:r>
        <w:rPr>
          <w:rFonts w:ascii="Times New Roman" w:hAnsi="Times New Roman" w:eastAsia="Times New Roman"/>
          <w:b w:val="0"/>
          <w:i w:val="0"/>
          <w:color w:val="20252B"/>
          <w:sz w:val="20"/>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pageBreakBefore w:val="0"/>
        <w:spacing w:after="80" w:line="269" w:lineRule="auto"/>
        <w:ind w:firstLine="397"/>
        <w:jc w:val="both"/>
      </w:pPr>
      <w:r>
        <w:rPr>
          <w:rFonts w:ascii="Times New Roman" w:hAnsi="Times New Roman" w:eastAsia="Times New Roman"/>
          <w:b w:val="0"/>
          <w:i w:val="0"/>
          <w:color w:val="20252B"/>
          <w:sz w:val="20"/>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Растения выращиваются ради пищи, а не ради воздуха. В замкнутой системе валовое превышение фотосинтеза над дыханием людей не является запасом: связанный углекислый газ должен возвращаться в атмосферу разложением органики, иначе атмосферный углекислый газ был бы исчерпан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pageBreakBefore w:val="0"/>
        <w:spacing w:after="80" w:line="269" w:lineRule="auto"/>
        <w:ind w:firstLine="397"/>
        <w:jc w:val="both"/>
      </w:pPr>
      <w:r>
        <w:rPr>
          <w:rFonts w:ascii="Times New Roman" w:hAnsi="Times New Roman" w:eastAsia="Times New Roman"/>
          <w:b w:val="0"/>
          <w:i w:val="0"/>
          <w:color w:val="20252B"/>
          <w:sz w:val="20"/>
        </w:rPr>
        <w:t>Буферность. В атмосфере массой 7,55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pageBreakBefore w:val="0"/>
        <w:spacing w:after="80" w:line="269" w:lineRule="auto"/>
        <w:ind w:firstLine="397"/>
        <w:jc w:val="both"/>
      </w:pPr>
      <w:r>
        <w:rPr>
          <w:rFonts w:ascii="Times New Roman" w:hAnsi="Times New Roman" w:eastAsia="Times New Roman"/>
          <w:b w:val="0"/>
          <w:i w:val="0"/>
          <w:color w:val="20252B"/>
          <w:sz w:val="20"/>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pStyle w:val="Heading2"/>
        <w:keepNext/>
        <w:pageBreakBefore w:val="0"/>
        <w:spacing w:after="40"/>
        <w:jc w:val="left"/>
      </w:pPr>
      <w:r>
        <w:rPr>
          <w:rFonts w:ascii="Times New Roman" w:hAnsi="Times New Roman" w:eastAsia="Times New Roman"/>
          <w:b/>
          <w:i w:val="0"/>
          <w:color w:val="2F5D83"/>
          <w:sz w:val="25"/>
        </w:rPr>
        <w:t>6.2. Круговорот веществ: почва как действующая система</w:t>
      </w:r>
    </w:p>
    <w:p>
      <w:pPr>
        <w:pageBreakBefore w:val="0"/>
        <w:spacing w:after="80" w:line="269" w:lineRule="auto"/>
        <w:ind w:firstLine="397"/>
        <w:jc w:val="both"/>
      </w:pPr>
      <w:r>
        <w:rPr>
          <w:rFonts w:ascii="Times New Roman" w:hAnsi="Times New Roman" w:eastAsia="Times New Roman"/>
          <w:b w:val="0"/>
          <w:i w:val="0"/>
          <w:color w:val="20252B"/>
          <w:sz w:val="20"/>
        </w:rPr>
        <w:t>В массовом балансе п. 4.3 грунт учтён как 8,13 млрд т нагрузки. Для расчёта прочности эта масса рассматривается как распределённая инертная нагрузка; для биосферы тот же слой должен сохранять биологическую активность и плодородие. Поэтому в замкнутом цикле предусматриваются почвенная биота, возврат органики и круговорот азота, углерода, фосфора и калия.</w:t>
      </w:r>
    </w:p>
    <w:p>
      <w:pPr>
        <w:pageBreakBefore w:val="0"/>
        <w:spacing w:after="80" w:line="269" w:lineRule="auto"/>
        <w:ind w:firstLine="397"/>
        <w:jc w:val="both"/>
      </w:pPr>
      <w:r>
        <w:rPr>
          <w:rFonts w:ascii="Times New Roman" w:hAnsi="Times New Roman" w:eastAsia="Times New Roman"/>
          <w:b w:val="0"/>
          <w:i w:val="0"/>
          <w:color w:val="20252B"/>
          <w:sz w:val="20"/>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pageBreakBefore w:val="0"/>
        <w:spacing w:after="80" w:line="269" w:lineRule="auto"/>
        <w:ind w:firstLine="397"/>
        <w:jc w:val="both"/>
      </w:pPr>
      <w:r>
        <w:rPr>
          <w:rFonts w:ascii="Times New Roman" w:hAnsi="Times New Roman" w:eastAsia="Times New Roman"/>
          <w:b w:val="0"/>
          <w:i w:val="0"/>
          <w:color w:val="20252B"/>
          <w:sz w:val="20"/>
        </w:rPr>
        <w:t>Почвенная биота — дождевые черви, микориза, микроорганизмы — подлежит преднамеренному заселению и учёту наравне с посевами. Её видовой состав и численность ещё не рассчитаны; это открытая биологическая задача.</w:t>
      </w:r>
    </w:p>
    <w:p>
      <w:pPr>
        <w:pStyle w:val="Heading2"/>
        <w:keepNext/>
        <w:pageBreakBefore w:val="0"/>
        <w:spacing w:after="40"/>
        <w:jc w:val="left"/>
      </w:pPr>
      <w:r>
        <w:rPr>
          <w:rFonts w:ascii="Times New Roman" w:hAnsi="Times New Roman" w:eastAsia="Times New Roman"/>
          <w:b/>
          <w:i w:val="0"/>
          <w:color w:val="2F5D83"/>
          <w:sz w:val="25"/>
        </w:rPr>
        <w:t>6.3. Опылители и сообщества животных</w:t>
      </w:r>
    </w:p>
    <w:p>
      <w:pPr>
        <w:pageBreakBefore w:val="0"/>
        <w:spacing w:after="80" w:line="269" w:lineRule="auto"/>
        <w:ind w:firstLine="397"/>
        <w:jc w:val="both"/>
      </w:pPr>
      <w:r>
        <w:rPr>
          <w:rFonts w:ascii="Times New Roman" w:hAnsi="Times New Roman" w:eastAsia="Times New Roman"/>
          <w:b w:val="0"/>
          <w:i w:val="0"/>
          <w:color w:val="20252B"/>
          <w:sz w:val="20"/>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pageBreakBefore w:val="0"/>
        <w:spacing w:after="80" w:line="269" w:lineRule="auto"/>
        <w:ind w:firstLine="397"/>
        <w:jc w:val="both"/>
      </w:pPr>
      <w:r>
        <w:rPr>
          <w:rFonts w:ascii="Times New Roman" w:hAnsi="Times New Roman" w:eastAsia="Times New Roman"/>
          <w:b w:val="0"/>
          <w:i w:val="0"/>
          <w:color w:val="20252B"/>
          <w:sz w:val="20"/>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pageBreakBefore w:val="0"/>
        <w:spacing w:after="80" w:line="269" w:lineRule="auto"/>
        <w:ind w:firstLine="397"/>
        <w:jc w:val="both"/>
      </w:pPr>
      <w:r>
        <w:rPr>
          <w:rFonts w:ascii="Times New Roman" w:hAnsi="Times New Roman" w:eastAsia="Times New Roman"/>
          <w:b w:val="0"/>
          <w:i w:val="0"/>
          <w:color w:val="20252B"/>
          <w:sz w:val="20"/>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pStyle w:val="Heading2"/>
        <w:keepNext/>
        <w:pageBreakBefore w:val="0"/>
        <w:spacing w:after="40"/>
        <w:jc w:val="left"/>
      </w:pPr>
      <w:r>
        <w:rPr>
          <w:rFonts w:ascii="Times New Roman" w:hAnsi="Times New Roman" w:eastAsia="Times New Roman"/>
          <w:b/>
          <w:i w:val="0"/>
          <w:color w:val="2F5D83"/>
          <w:sz w:val="25"/>
        </w:rPr>
        <w:t>6.4. Движение воздуха, осадки и погода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pageBreakBefore w:val="0"/>
        <w:spacing w:after="80" w:line="269" w:lineRule="auto"/>
        <w:ind w:firstLine="397"/>
        <w:jc w:val="both"/>
      </w:pPr>
      <w:r>
        <w:rPr>
          <w:rFonts w:ascii="Times New Roman" w:hAnsi="Times New Roman" w:eastAsia="Times New Roman"/>
          <w:b w:val="0"/>
          <w:i w:val="0"/>
          <w:color w:val="20252B"/>
          <w:sz w:val="20"/>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pageBreakBefore w:val="0"/>
        <w:spacing w:after="80" w:line="269" w:lineRule="auto"/>
        <w:ind w:firstLine="397"/>
        <w:jc w:val="both"/>
      </w:pPr>
      <w:r>
        <w:rPr>
          <w:rFonts w:ascii="Times New Roman" w:hAnsi="Times New Roman" w:eastAsia="Times New Roman"/>
          <w:b w:val="0"/>
          <w:i w:val="0"/>
          <w:color w:val="20252B"/>
          <w:sz w:val="20"/>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остаётся отдельной незавершённой инженерной задачей.</w:t>
      </w:r>
    </w:p>
    <w:p>
      <w:pPr>
        <w:pStyle w:val="Heading2"/>
        <w:keepNext/>
        <w:pageBreakBefore w:val="0"/>
        <w:spacing w:after="40"/>
        <w:jc w:val="left"/>
      </w:pPr>
      <w:r>
        <w:rPr>
          <w:rFonts w:ascii="Times New Roman" w:hAnsi="Times New Roman" w:eastAsia="Times New Roman"/>
          <w:b/>
          <w:i w:val="0"/>
          <w:color w:val="2F5D83"/>
          <w:sz w:val="25"/>
        </w:rPr>
        <w:t>6.5. Пыль, аэрозоли и санитарное состояние воздуха</w:t>
      </w:r>
    </w:p>
    <w:p>
      <w:pPr>
        <w:pageBreakBefore w:val="0"/>
        <w:spacing w:after="80" w:line="269" w:lineRule="auto"/>
        <w:ind w:firstLine="397"/>
        <w:jc w:val="both"/>
      </w:pPr>
      <w:r>
        <w:rPr>
          <w:rFonts w:ascii="Times New Roman" w:hAnsi="Times New Roman" w:eastAsia="Times New Roman"/>
          <w:b w:val="0"/>
          <w:i w:val="0"/>
          <w:color w:val="20252B"/>
          <w:sz w:val="20"/>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pageBreakBefore w:val="0"/>
        <w:spacing w:after="80" w:line="269" w:lineRule="auto"/>
        <w:ind w:firstLine="397"/>
        <w:jc w:val="both"/>
      </w:pPr>
      <w:r>
        <w:rPr>
          <w:rFonts w:ascii="Times New Roman" w:hAnsi="Times New Roman" w:eastAsia="Times New Roman"/>
          <w:b w:val="0"/>
          <w:i w:val="0"/>
          <w:color w:val="20252B"/>
          <w:sz w:val="20"/>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pageBreakBefore w:val="0"/>
        <w:spacing w:after="80" w:line="269" w:lineRule="auto"/>
        <w:ind w:firstLine="397"/>
        <w:jc w:val="both"/>
      </w:pPr>
      <w:r>
        <w:rPr>
          <w:rFonts w:ascii="Times New Roman" w:hAnsi="Times New Roman" w:eastAsia="Times New Roman"/>
          <w:b w:val="0"/>
          <w:i w:val="0"/>
          <w:color w:val="20252B"/>
          <w:sz w:val="20"/>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pStyle w:val="Heading2"/>
        <w:keepNext/>
        <w:pageBreakBefore w:val="0"/>
        <w:spacing w:after="40"/>
        <w:jc w:val="left"/>
      </w:pPr>
      <w:r>
        <w:rPr>
          <w:rFonts w:ascii="Times New Roman" w:hAnsi="Times New Roman" w:eastAsia="Times New Roman"/>
          <w:b/>
          <w:i w:val="0"/>
          <w:color w:val="2F5D83"/>
          <w:sz w:val="25"/>
        </w:rPr>
        <w:t>6.6. Разгерметизация: секционирование и время реакции</w:t>
      </w:r>
    </w:p>
    <w:p>
      <w:pPr>
        <w:pageBreakBefore w:val="0"/>
        <w:spacing w:after="80" w:line="269" w:lineRule="auto"/>
        <w:ind w:firstLine="397"/>
        <w:jc w:val="both"/>
      </w:pPr>
      <w:r>
        <w:rPr>
          <w:rFonts w:ascii="Times New Roman" w:hAnsi="Times New Roman" w:eastAsia="Times New Roman"/>
          <w:b w:val="0"/>
          <w:i w:val="0"/>
          <w:color w:val="20252B"/>
          <w:sz w:val="20"/>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pageBreakBefore w:val="0"/>
        <w:spacing w:after="80" w:line="269" w:lineRule="auto"/>
        <w:ind w:firstLine="397"/>
        <w:jc w:val="both"/>
      </w:pPr>
      <w:r>
        <w:rPr>
          <w:rFonts w:ascii="Times New Roman" w:hAnsi="Times New Roman" w:eastAsia="Times New Roman"/>
          <w:b w:val="0"/>
          <w:i w:val="0"/>
          <w:color w:val="20252B"/>
          <w:sz w:val="20"/>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pageBreakBefore w:val="0"/>
        <w:spacing w:after="80" w:line="269" w:lineRule="auto"/>
        <w:ind w:firstLine="397"/>
        <w:jc w:val="both"/>
      </w:pPr>
      <w:r>
        <w:rPr>
          <w:rFonts w:ascii="Times New Roman" w:hAnsi="Times New Roman" w:eastAsia="Times New Roman"/>
          <w:b w:val="0"/>
          <w:i w:val="0"/>
          <w:color w:val="20252B"/>
          <w:sz w:val="20"/>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pageBreakBefore w:val="0"/>
        <w:spacing w:after="80" w:line="269" w:lineRule="auto"/>
        <w:ind w:firstLine="397"/>
        <w:jc w:val="both"/>
      </w:pPr>
      <w:r>
        <w:rPr>
          <w:rFonts w:ascii="Times New Roman" w:hAnsi="Times New Roman" w:eastAsia="Times New Roman"/>
          <w:b w:val="0"/>
          <w:i w:val="0"/>
          <w:color w:val="20252B"/>
          <w:sz w:val="20"/>
        </w:rPr>
        <w:t>Опасность смещается с потери атмосферы на две другие: механическое повреждение силового пояса, работающего с запасом 1,53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w:t>
      </w:r>
    </w:p>
    <w:p>
      <w:pPr>
        <w:pStyle w:val="Heading2"/>
        <w:keepNext/>
        <w:pageBreakBefore w:val="0"/>
        <w:spacing w:after="40"/>
        <w:jc w:val="left"/>
      </w:pPr>
      <w:r>
        <w:rPr>
          <w:rFonts w:ascii="Times New Roman" w:hAnsi="Times New Roman" w:eastAsia="Times New Roman"/>
          <w:b/>
          <w:i w:val="0"/>
          <w:color w:val="2F5D83"/>
          <w:sz w:val="25"/>
        </w:rPr>
        <w:t>6.7. Перечень нерассмотренного</w:t>
      </w:r>
    </w:p>
    <w:p>
      <w:pPr>
        <w:pageBreakBefore w:val="0"/>
        <w:spacing w:after="80" w:line="269" w:lineRule="auto"/>
        <w:ind w:firstLine="397"/>
        <w:jc w:val="both"/>
      </w:pPr>
      <w:r>
        <w:rPr>
          <w:rFonts w:ascii="Times New Roman" w:hAnsi="Times New Roman" w:eastAsia="Times New Roman"/>
          <w:b w:val="0"/>
          <w:i w:val="0"/>
          <w:color w:val="20252B"/>
          <w:sz w:val="20"/>
        </w:rPr>
        <w:t>Перечень задач, требующих дальнейшей проработки, приведён в п. 16.6. Для них указаны необходимые эксперименты, расчёты, испытания и организационные решения.</w:t>
      </w:r>
    </w:p>
    <w:p>
      <w:pPr>
        <w:pageBreakBefore w:val="0"/>
        <w:spacing w:after="80" w:line="269" w:lineRule="auto"/>
        <w:ind w:firstLine="397"/>
        <w:jc w:val="both"/>
      </w:pPr>
      <w:r>
        <w:rPr>
          <w:rFonts w:ascii="Times New Roman" w:hAnsi="Times New Roman" w:eastAsia="Times New Roman"/>
          <w:b w:val="0"/>
          <w:i w:val="0"/>
          <w:color w:val="20252B"/>
          <w:sz w:val="20"/>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pageBreakBefore w:val="0"/>
        <w:spacing w:after="80" w:line="269" w:lineRule="auto"/>
        <w:ind w:firstLine="397"/>
        <w:jc w:val="both"/>
      </w:pPr>
      <w:r>
        <w:rPr>
          <w:rFonts w:ascii="Times New Roman" w:hAnsi="Times New Roman" w:eastAsia="Times New Roman"/>
          <w:b w:val="0"/>
          <w:i w:val="0"/>
          <w:color w:val="20252B"/>
          <w:sz w:val="20"/>
        </w:rPr>
        <w:t>Акустика: шумовой фон, резонансы стальной оболочки диаметром 10 км, вибрация от транспортных шахт и системы вентиляции.</w:t>
      </w:r>
    </w:p>
    <w:p>
      <w:pPr>
        <w:pageBreakBefore w:val="0"/>
        <w:spacing w:after="80" w:line="269" w:lineRule="auto"/>
        <w:ind w:firstLine="397"/>
        <w:jc w:val="both"/>
      </w:pPr>
      <w:r>
        <w:rPr>
          <w:rFonts w:ascii="Times New Roman" w:hAnsi="Times New Roman" w:eastAsia="Times New Roman"/>
          <w:b w:val="0"/>
          <w:i w:val="0"/>
          <w:color w:val="20252B"/>
          <w:sz w:val="20"/>
        </w:rPr>
        <w:t>Суточные и годовые ритмы: влияние искусственного цикла освещения на сон и здоровье; целесообразность имитации времён года.</w:t>
      </w:r>
    </w:p>
    <w:p>
      <w:pPr>
        <w:pageBreakBefore w:val="0"/>
        <w:spacing w:after="80" w:line="269" w:lineRule="auto"/>
        <w:ind w:firstLine="397"/>
        <w:jc w:val="both"/>
      </w:pPr>
      <w:r>
        <w:rPr>
          <w:rFonts w:ascii="Times New Roman" w:hAnsi="Times New Roman" w:eastAsia="Times New Roman"/>
          <w:b w:val="0"/>
          <w:i w:val="0"/>
          <w:color w:val="20252B"/>
          <w:sz w:val="20"/>
        </w:rPr>
        <w:t>Психологические следствия замкнутости и вида перевёрнутого ландшафта над головой; потребность в открытых перспективах.</w:t>
      </w:r>
    </w:p>
    <w:p>
      <w:pPr>
        <w:pageBreakBefore w:val="0"/>
        <w:spacing w:after="80" w:line="269" w:lineRule="auto"/>
        <w:ind w:firstLine="397"/>
        <w:jc w:val="both"/>
      </w:pPr>
      <w:r>
        <w:rPr>
          <w:rFonts w:ascii="Times New Roman" w:hAnsi="Times New Roman" w:eastAsia="Times New Roman"/>
          <w:b w:val="0"/>
          <w:i w:val="0"/>
          <w:color w:val="20252B"/>
          <w:sz w:val="20"/>
        </w:rPr>
        <w:t>Смена поколений: развитие ребёнка при 1 g на ободе и невесомости у оси, демографическая устойчивость населения на горизонте столетий.</w:t>
      </w:r>
    </w:p>
    <w:p>
      <w:pPr>
        <w:pageBreakBefore w:val="0"/>
        <w:spacing w:after="80" w:line="269" w:lineRule="auto"/>
        <w:ind w:firstLine="397"/>
        <w:jc w:val="both"/>
      </w:pPr>
      <w:r>
        <w:rPr>
          <w:rFonts w:ascii="Times New Roman" w:hAnsi="Times New Roman" w:eastAsia="Times New Roman"/>
          <w:b w:val="0"/>
          <w:i w:val="0"/>
          <w:color w:val="20252B"/>
          <w:sz w:val="20"/>
        </w:rPr>
        <w:t>Пожарная безопасность: горение и его тушение во вращающейся атмосфере, где конвекция подчинена не только тяжести, но и ускорению Кориолиса.</w:t>
      </w:r>
    </w:p>
    <w:p>
      <w:pPr>
        <w:pageBreakBefore w:val="0"/>
        <w:spacing w:after="80" w:line="269" w:lineRule="auto"/>
        <w:ind w:firstLine="397"/>
        <w:jc w:val="both"/>
      </w:pPr>
      <w:r>
        <w:rPr>
          <w:rFonts w:ascii="Times New Roman" w:hAnsi="Times New Roman" w:eastAsia="Times New Roman"/>
          <w:b w:val="0"/>
          <w:i w:val="0"/>
          <w:color w:val="20252B"/>
          <w:sz w:val="20"/>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pStyle w:val="Heading1"/>
        <w:keepNext/>
        <w:pageBreakBefore w:val="0"/>
        <w:spacing w:after="40"/>
        <w:jc w:val="left"/>
      </w:pPr>
      <w:r>
        <w:rPr>
          <w:rFonts w:ascii="Times New Roman" w:hAnsi="Times New Roman" w:eastAsia="Times New Roman"/>
          <w:b/>
          <w:i w:val="0"/>
          <w:color w:val="1F3A5F"/>
          <w:sz w:val="30"/>
        </w:rPr>
        <w:t>7. ЧЕЛОВЕК В ЗАМКНУТОЙ СРЕДЕ: ЗДОРОВЬЕ, РИТМЫ И ДОЛГОВЕЧНОСТЬ</w:t>
      </w:r>
    </w:p>
    <w:p>
      <w:pPr>
        <w:pageBreakBefore w:val="0"/>
        <w:spacing w:after="80" w:line="269" w:lineRule="auto"/>
        <w:ind w:firstLine="397"/>
        <w:jc w:val="both"/>
      </w:pPr>
      <w:r>
        <w:rPr>
          <w:rFonts w:ascii="Times New Roman" w:hAnsi="Times New Roman" w:eastAsia="Times New Roman"/>
          <w:b w:val="0"/>
          <w:i w:val="0"/>
          <w:color w:val="20252B"/>
          <w:sz w:val="20"/>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pStyle w:val="Heading2"/>
        <w:keepNext/>
        <w:pageBreakBefore w:val="0"/>
        <w:spacing w:after="40"/>
        <w:jc w:val="left"/>
      </w:pPr>
      <w:r>
        <w:rPr>
          <w:rFonts w:ascii="Times New Roman" w:hAnsi="Times New Roman" w:eastAsia="Times New Roman"/>
          <w:b/>
          <w:i w:val="0"/>
          <w:color w:val="2F5D83"/>
          <w:sz w:val="25"/>
        </w:rPr>
        <w:t>7.1. Эпидемическая устойчивость и секционирование</w:t>
      </w:r>
    </w:p>
    <w:p>
      <w:pPr>
        <w:pageBreakBefore w:val="0"/>
        <w:spacing w:after="80" w:line="269" w:lineRule="auto"/>
        <w:ind w:firstLine="397"/>
        <w:jc w:val="both"/>
      </w:pPr>
      <w:r>
        <w:rPr>
          <w:rFonts w:ascii="Times New Roman" w:hAnsi="Times New Roman" w:eastAsia="Times New Roman"/>
          <w:b w:val="0"/>
          <w:i w:val="0"/>
          <w:color w:val="20252B"/>
          <w:sz w:val="20"/>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pageBreakBefore w:val="0"/>
        <w:spacing w:after="80" w:line="269" w:lineRule="auto"/>
        <w:ind w:firstLine="397"/>
        <w:jc w:val="both"/>
      </w:pPr>
      <w:r>
        <w:rPr>
          <w:rFonts w:ascii="Times New Roman" w:hAnsi="Times New Roman" w:eastAsia="Times New Roman"/>
          <w:b w:val="0"/>
          <w:i w:val="0"/>
          <w:color w:val="20252B"/>
          <w:sz w:val="20"/>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pageBreakBefore w:val="0"/>
        <w:spacing w:after="80" w:line="269" w:lineRule="auto"/>
        <w:ind w:firstLine="397"/>
        <w:jc w:val="both"/>
      </w:pPr>
      <w:r>
        <w:rPr>
          <w:rFonts w:ascii="Times New Roman" w:hAnsi="Times New Roman" w:eastAsia="Times New Roman"/>
          <w:b w:val="0"/>
          <w:i w:val="0"/>
          <w:color w:val="20252B"/>
          <w:sz w:val="20"/>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pageBreakBefore w:val="0"/>
        <w:spacing w:after="80" w:line="269" w:lineRule="auto"/>
        <w:ind w:firstLine="397"/>
        <w:jc w:val="both"/>
      </w:pPr>
      <w:r>
        <w:rPr>
          <w:rFonts w:ascii="Times New Roman" w:hAnsi="Times New Roman" w:eastAsia="Times New Roman"/>
          <w:b w:val="0"/>
          <w:i w:val="0"/>
          <w:color w:val="20252B"/>
          <w:sz w:val="20"/>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pageBreakBefore w:val="0"/>
        <w:spacing w:after="80" w:line="269" w:lineRule="auto"/>
        <w:ind w:firstLine="397"/>
        <w:jc w:val="both"/>
      </w:pPr>
      <w:r>
        <w:rPr>
          <w:rFonts w:ascii="Times New Roman" w:hAnsi="Times New Roman" w:eastAsia="Times New Roman"/>
          <w:b w:val="0"/>
          <w:i w:val="0"/>
          <w:color w:val="20252B"/>
          <w:sz w:val="20"/>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pageBreakBefore w:val="0"/>
        <w:spacing w:after="80" w:line="269" w:lineRule="auto"/>
        <w:ind w:firstLine="397"/>
        <w:jc w:val="both"/>
      </w:pPr>
      <w:r>
        <w:rPr>
          <w:rFonts w:ascii="Times New Roman" w:hAnsi="Times New Roman" w:eastAsia="Times New Roman"/>
          <w:b w:val="0"/>
          <w:i w:val="0"/>
          <w:color w:val="20252B"/>
          <w:sz w:val="20"/>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pageBreakBefore w:val="0"/>
        <w:spacing w:after="80" w:line="269" w:lineRule="auto"/>
        <w:ind w:firstLine="397"/>
        <w:jc w:val="both"/>
      </w:pPr>
      <w:r>
        <w:rPr>
          <w:rFonts w:ascii="Times New Roman" w:hAnsi="Times New Roman" w:eastAsia="Times New Roman"/>
          <w:b w:val="0"/>
          <w:i w:val="0"/>
          <w:color w:val="20252B"/>
          <w:sz w:val="20"/>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pageBreakBefore w:val="0"/>
        <w:spacing w:after="80" w:line="269" w:lineRule="auto"/>
        <w:ind w:firstLine="397"/>
        <w:jc w:val="both"/>
      </w:pPr>
      <w:r>
        <w:rPr>
          <w:rFonts w:ascii="Times New Roman" w:hAnsi="Times New Roman" w:eastAsia="Times New Roman"/>
          <w:b w:val="0"/>
          <w:i w:val="0"/>
          <w:color w:val="20252B"/>
          <w:sz w:val="20"/>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pageBreakBefore w:val="0"/>
        <w:spacing w:after="80" w:line="269" w:lineRule="auto"/>
        <w:ind w:firstLine="397"/>
        <w:jc w:val="both"/>
      </w:pPr>
      <w:r>
        <w:rPr>
          <w:rFonts w:ascii="Times New Roman" w:hAnsi="Times New Roman" w:eastAsia="Times New Roman"/>
          <w:b w:val="0"/>
          <w:i w:val="0"/>
          <w:color w:val="20252B"/>
          <w:sz w:val="20"/>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0" cy="288670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19 — эпидемия в замкнутой популяции и действие секционирования</w:t>
      </w:r>
    </w:p>
    <w:p>
      <w:pPr>
        <w:pStyle w:val="Heading2"/>
        <w:keepNext/>
        <w:pageBreakBefore w:val="0"/>
        <w:spacing w:after="40"/>
        <w:jc w:val="left"/>
      </w:pPr>
      <w:r>
        <w:rPr>
          <w:rFonts w:ascii="Times New Roman" w:hAnsi="Times New Roman" w:eastAsia="Times New Roman"/>
          <w:b/>
          <w:i w:val="0"/>
          <w:color w:val="2F5D83"/>
          <w:sz w:val="25"/>
        </w:rPr>
        <w:t>7.2. Акустика: собственные частоты и инфразвук</w:t>
      </w:r>
    </w:p>
    <w:p>
      <w:pPr>
        <w:pageBreakBefore w:val="0"/>
        <w:spacing w:after="80" w:line="269" w:lineRule="auto"/>
        <w:ind w:firstLine="397"/>
        <w:jc w:val="both"/>
      </w:pPr>
      <w:r>
        <w:rPr>
          <w:rFonts w:ascii="Times New Roman" w:hAnsi="Times New Roman" w:eastAsia="Times New Roman"/>
          <w:b w:val="0"/>
          <w:i w:val="0"/>
          <w:color w:val="20252B"/>
          <w:sz w:val="20"/>
        </w:rPr>
        <w:t>Стальная оболочка диаметром 10 км и воздушный объём длиной 40 км образуют колебательную систему. Её собственные частоты вычисляются прямо.</w:t>
      </w:r>
    </w:p>
    <w:p>
      <w:pPr>
        <w:pageBreakBefore w:val="0"/>
        <w:spacing w:after="80" w:line="269" w:lineRule="auto"/>
        <w:ind w:firstLine="397"/>
        <w:jc w:val="both"/>
      </w:pPr>
      <w:r>
        <w:rPr>
          <w:rFonts w:ascii="Times New Roman" w:hAnsi="Times New Roman" w:eastAsia="Times New Roman"/>
          <w:b w:val="0"/>
          <w:i w:val="0"/>
          <w:color w:val="20252B"/>
          <w:sz w:val="20"/>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pageBreakBefore w:val="0"/>
        <w:spacing w:after="80" w:line="269" w:lineRule="auto"/>
        <w:ind w:firstLine="397"/>
        <w:jc w:val="both"/>
      </w:pPr>
      <w:r>
        <w:rPr>
          <w:rFonts w:ascii="Times New Roman" w:hAnsi="Times New Roman" w:eastAsia="Times New Roman"/>
          <w:b w:val="0"/>
          <w:i w:val="0"/>
          <w:color w:val="20252B"/>
          <w:sz w:val="20"/>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pageBreakBefore w:val="0"/>
        <w:spacing w:after="80" w:line="269" w:lineRule="auto"/>
        <w:ind w:firstLine="397"/>
        <w:jc w:val="both"/>
      </w:pPr>
      <w:r>
        <w:rPr>
          <w:rFonts w:ascii="Times New Roman" w:hAnsi="Times New Roman" w:eastAsia="Times New Roman"/>
          <w:b w:val="0"/>
          <w:i w:val="0"/>
          <w:color w:val="20252B"/>
          <w:sz w:val="20"/>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ещё не выполнен и составляет самостоятельную задачу.</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580000" cy="254268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20 — собственные частоты станции относительно полосы слышимого звука</w:t>
      </w:r>
    </w:p>
    <w:p>
      <w:pPr>
        <w:pStyle w:val="Heading2"/>
        <w:keepNext/>
        <w:pageBreakBefore w:val="0"/>
        <w:spacing w:after="40"/>
        <w:jc w:val="left"/>
      </w:pPr>
      <w:r>
        <w:rPr>
          <w:rFonts w:ascii="Times New Roman" w:hAnsi="Times New Roman" w:eastAsia="Times New Roman"/>
          <w:b/>
          <w:i w:val="0"/>
          <w:color w:val="2F5D83"/>
          <w:sz w:val="25"/>
        </w:rPr>
        <w:t>7.3. Суточный ритм и освещённость</w:t>
      </w:r>
    </w:p>
    <w:p>
      <w:pPr>
        <w:pageBreakBefore w:val="0"/>
        <w:spacing w:after="80" w:line="269" w:lineRule="auto"/>
        <w:ind w:firstLine="397"/>
        <w:jc w:val="both"/>
      </w:pPr>
      <w:r>
        <w:rPr>
          <w:rFonts w:ascii="Times New Roman" w:hAnsi="Times New Roman" w:eastAsia="Times New Roman"/>
          <w:b w:val="0"/>
          <w:i w:val="0"/>
          <w:color w:val="20252B"/>
          <w:sz w:val="20"/>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pageBreakBefore w:val="0"/>
        <w:spacing w:after="80" w:line="269" w:lineRule="auto"/>
        <w:ind w:firstLine="397"/>
        <w:jc w:val="both"/>
      </w:pPr>
      <w:r>
        <w:rPr>
          <w:rFonts w:ascii="Times New Roman" w:hAnsi="Times New Roman" w:eastAsia="Times New Roman"/>
          <w:b w:val="0"/>
          <w:i w:val="0"/>
          <w:color w:val="20252B"/>
          <w:sz w:val="20"/>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pageBreakBefore w:val="0"/>
        <w:spacing w:after="80" w:line="269" w:lineRule="auto"/>
        <w:ind w:firstLine="397"/>
        <w:jc w:val="both"/>
      </w:pPr>
      <w:r>
        <w:rPr>
          <w:rFonts w:ascii="Times New Roman" w:hAnsi="Times New Roman" w:eastAsia="Times New Roman"/>
          <w:b w:val="0"/>
          <w:i w:val="0"/>
          <w:color w:val="20252B"/>
          <w:sz w:val="20"/>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pStyle w:val="Heading2"/>
        <w:keepNext/>
        <w:pageBreakBefore w:val="0"/>
        <w:spacing w:after="40"/>
        <w:jc w:val="left"/>
      </w:pPr>
      <w:r>
        <w:rPr>
          <w:rFonts w:ascii="Times New Roman" w:hAnsi="Times New Roman" w:eastAsia="Times New Roman"/>
          <w:b/>
          <w:i w:val="0"/>
          <w:color w:val="2F5D83"/>
          <w:sz w:val="25"/>
        </w:rPr>
        <w:t>7.4. Развитие ребёнка и жизнь в поле вращения</w:t>
      </w:r>
    </w:p>
    <w:p>
      <w:pPr>
        <w:pageBreakBefore w:val="0"/>
        <w:spacing w:after="80" w:line="269" w:lineRule="auto"/>
        <w:ind w:firstLine="397"/>
        <w:jc w:val="both"/>
      </w:pPr>
      <w:r>
        <w:rPr>
          <w:rFonts w:ascii="Times New Roman" w:hAnsi="Times New Roman" w:eastAsia="Times New Roman"/>
          <w:b w:val="0"/>
          <w:i w:val="0"/>
          <w:color w:val="20252B"/>
          <w:sz w:val="20"/>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pageBreakBefore w:val="0"/>
        <w:spacing w:after="80" w:line="269" w:lineRule="auto"/>
        <w:ind w:firstLine="397"/>
        <w:jc w:val="both"/>
      </w:pPr>
      <w:r>
        <w:rPr>
          <w:rFonts w:ascii="Times New Roman" w:hAnsi="Times New Roman" w:eastAsia="Times New Roman"/>
          <w:b w:val="0"/>
          <w:i w:val="0"/>
          <w:color w:val="20252B"/>
          <w:sz w:val="20"/>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pageBreakBefore w:val="0"/>
        <w:spacing w:after="80" w:line="269" w:lineRule="auto"/>
        <w:ind w:firstLine="397"/>
        <w:jc w:val="both"/>
      </w:pPr>
      <w:r>
        <w:rPr>
          <w:rFonts w:ascii="Times New Roman" w:hAnsi="Times New Roman" w:eastAsia="Times New Roman"/>
          <w:b w:val="0"/>
          <w:i w:val="0"/>
          <w:color w:val="20252B"/>
          <w:sz w:val="20"/>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pageBreakBefore w:val="0"/>
        <w:spacing w:after="80" w:line="269" w:lineRule="auto"/>
        <w:ind w:firstLine="397"/>
        <w:jc w:val="both"/>
      </w:pPr>
      <w:r>
        <w:rPr>
          <w:rFonts w:ascii="Times New Roman" w:hAnsi="Times New Roman" w:eastAsia="Times New Roman"/>
          <w:b w:val="0"/>
          <w:i w:val="0"/>
          <w:color w:val="20252B"/>
          <w:sz w:val="20"/>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pageBreakBefore w:val="0"/>
        <w:spacing w:after="80" w:line="269" w:lineRule="auto"/>
        <w:ind w:firstLine="397"/>
        <w:jc w:val="both"/>
      </w:pPr>
      <w:r>
        <w:rPr>
          <w:rFonts w:ascii="Times New Roman" w:hAnsi="Times New Roman" w:eastAsia="Times New Roman"/>
          <w:b w:val="0"/>
          <w:i w:val="0"/>
          <w:color w:val="20252B"/>
          <w:sz w:val="20"/>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pStyle w:val="Heading2"/>
        <w:keepNext/>
        <w:pageBreakBefore w:val="0"/>
        <w:spacing w:after="40"/>
        <w:jc w:val="left"/>
      </w:pPr>
      <w:r>
        <w:rPr>
          <w:rFonts w:ascii="Times New Roman" w:hAnsi="Times New Roman" w:eastAsia="Times New Roman"/>
          <w:b/>
          <w:i w:val="0"/>
          <w:color w:val="2F5D83"/>
          <w:sz w:val="25"/>
        </w:rPr>
        <w:t>7.5. Пожарная безопасность во вращающейся атмосфере</w:t>
      </w:r>
    </w:p>
    <w:p>
      <w:pPr>
        <w:pageBreakBefore w:val="0"/>
        <w:spacing w:after="80" w:line="269" w:lineRule="auto"/>
        <w:ind w:firstLine="397"/>
        <w:jc w:val="both"/>
      </w:pPr>
      <w:r>
        <w:rPr>
          <w:rFonts w:ascii="Times New Roman" w:hAnsi="Times New Roman" w:eastAsia="Times New Roman"/>
          <w:b w:val="0"/>
          <w:i w:val="0"/>
          <w:color w:val="20252B"/>
          <w:sz w:val="20"/>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pageBreakBefore w:val="0"/>
        <w:spacing w:after="80" w:line="269" w:lineRule="auto"/>
        <w:ind w:firstLine="397"/>
        <w:jc w:val="both"/>
      </w:pPr>
      <w:r>
        <w:rPr>
          <w:rFonts w:ascii="Times New Roman" w:hAnsi="Times New Roman" w:eastAsia="Times New Roman"/>
          <w:b w:val="0"/>
          <w:i w:val="0"/>
          <w:color w:val="20252B"/>
          <w:sz w:val="20"/>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pageBreakBefore w:val="0"/>
        <w:spacing w:after="80" w:line="269" w:lineRule="auto"/>
        <w:ind w:firstLine="397"/>
        <w:jc w:val="both"/>
      </w:pPr>
      <w:r>
        <w:rPr>
          <w:rFonts w:ascii="Times New Roman" w:hAnsi="Times New Roman" w:eastAsia="Times New Roman"/>
          <w:b w:val="0"/>
          <w:i w:val="0"/>
          <w:color w:val="20252B"/>
          <w:sz w:val="20"/>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pageBreakBefore w:val="0"/>
        <w:spacing w:after="80" w:line="269" w:lineRule="auto"/>
        <w:ind w:firstLine="397"/>
        <w:jc w:val="both"/>
      </w:pPr>
      <w:r>
        <w:rPr>
          <w:rFonts w:ascii="Times New Roman" w:hAnsi="Times New Roman" w:eastAsia="Times New Roman"/>
          <w:b w:val="0"/>
          <w:i w:val="0"/>
          <w:color w:val="20252B"/>
          <w:sz w:val="20"/>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pStyle w:val="Heading2"/>
        <w:keepNext/>
        <w:pageBreakBefore w:val="0"/>
        <w:spacing w:after="40"/>
        <w:jc w:val="left"/>
      </w:pPr>
      <w:r>
        <w:rPr>
          <w:rFonts w:ascii="Times New Roman" w:hAnsi="Times New Roman" w:eastAsia="Times New Roman"/>
          <w:b/>
          <w:i w:val="0"/>
          <w:color w:val="2F5D83"/>
          <w:sz w:val="25"/>
        </w:rPr>
        <w:t>7.6. Старение конструкции на сроке службы в столетия</w:t>
      </w:r>
    </w:p>
    <w:p>
      <w:pPr>
        <w:pageBreakBefore w:val="0"/>
        <w:spacing w:after="80" w:line="269" w:lineRule="auto"/>
        <w:ind w:firstLine="397"/>
        <w:jc w:val="both"/>
      </w:pPr>
      <w:r>
        <w:rPr>
          <w:rFonts w:ascii="Times New Roman" w:hAnsi="Times New Roman" w:eastAsia="Times New Roman"/>
          <w:b w:val="0"/>
          <w:i w:val="0"/>
          <w:color w:val="20252B"/>
          <w:sz w:val="20"/>
        </w:rPr>
        <w:t>Станция проектируется на срок, измеряемый столетиями. Два процесса разрушения поддаются оценке уже сейчас.</w:t>
      </w:r>
    </w:p>
    <w:p>
      <w:pPr>
        <w:pageBreakBefore w:val="0"/>
        <w:spacing w:after="80" w:line="269" w:lineRule="auto"/>
        <w:ind w:firstLine="397"/>
        <w:jc w:val="both"/>
      </w:pPr>
      <w:r>
        <w:rPr>
          <w:rFonts w:ascii="Times New Roman" w:hAnsi="Times New Roman" w:eastAsia="Times New Roman"/>
          <w:b w:val="0"/>
          <w:i w:val="0"/>
          <w:color w:val="20252B"/>
          <w:sz w:val="20"/>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pageBreakBefore w:val="0"/>
        <w:spacing w:after="80" w:line="269" w:lineRule="auto"/>
        <w:ind w:firstLine="397"/>
        <w:jc w:val="both"/>
      </w:pPr>
      <w:r>
        <w:rPr>
          <w:rFonts w:ascii="Times New Roman" w:hAnsi="Times New Roman" w:eastAsia="Times New Roman"/>
          <w:b w:val="0"/>
          <w:i w:val="0"/>
          <w:color w:val="20252B"/>
          <w:sz w:val="20"/>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pageBreakBefore w:val="0"/>
        <w:spacing w:after="80" w:line="269" w:lineRule="auto"/>
        <w:ind w:firstLine="397"/>
        <w:jc w:val="both"/>
      </w:pPr>
      <w:r>
        <w:rPr>
          <w:rFonts w:ascii="Times New Roman" w:hAnsi="Times New Roman" w:eastAsia="Times New Roman"/>
          <w:b w:val="0"/>
          <w:i w:val="0"/>
          <w:color w:val="20252B"/>
          <w:sz w:val="20"/>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Она пока не разработана.</w:t>
      </w:r>
    </w:p>
    <w:p>
      <w:pPr>
        <w:pStyle w:val="Heading2"/>
        <w:keepNext/>
        <w:pageBreakBefore w:val="0"/>
        <w:spacing w:after="40"/>
        <w:jc w:val="left"/>
      </w:pPr>
      <w:r>
        <w:rPr>
          <w:rFonts w:ascii="Times New Roman" w:hAnsi="Times New Roman" w:eastAsia="Times New Roman"/>
          <w:b/>
          <w:i w:val="0"/>
          <w:color w:val="2F5D83"/>
          <w:sz w:val="25"/>
        </w:rPr>
        <w:t>7.7. Солнечные батареи носовых куполов</w:t>
      </w:r>
    </w:p>
    <w:p>
      <w:pPr>
        <w:pageBreakBefore w:val="0"/>
        <w:spacing w:after="80" w:line="269" w:lineRule="auto"/>
        <w:ind w:firstLine="397"/>
        <w:jc w:val="both"/>
      </w:pPr>
      <w:r>
        <w:rPr>
          <w:rFonts w:ascii="Times New Roman" w:hAnsi="Times New Roman" w:eastAsia="Times New Roman"/>
          <w:b w:val="0"/>
          <w:i w:val="0"/>
          <w:color w:val="20252B"/>
          <w:sz w:val="20"/>
        </w:rPr>
        <w:t>Состав станции включает дополнительный источник энергии: фотоэлектрические батареи, покрывающие поверхность носового купола каждого цилиндра. Реакторная установка остаётся основным источником, а батареи преобразуют свет в электричество, а не освещают внутренний объём. Зеркальная система и солнечный парус в проект не входят.</w:t>
      </w:r>
    </w:p>
    <w:p>
      <w:pPr>
        <w:pageBreakBefore w:val="0"/>
        <w:spacing w:after="80" w:line="269" w:lineRule="auto"/>
        <w:ind w:firstLine="397"/>
        <w:jc w:val="both"/>
      </w:pPr>
      <w:r>
        <w:rPr>
          <w:rFonts w:ascii="Times New Roman" w:hAnsi="Times New Roman" w:eastAsia="Times New Roman"/>
          <w:b w:val="0"/>
          <w:i w:val="0"/>
          <w:color w:val="20252B"/>
          <w:sz w:val="20"/>
        </w:rPr>
        <w:t>Площадь и мощность. Собираемая мощность определяется площадью проекции батарей на направление луча. Суммарная площадь шести задних крыльев принимается 586,8 км², то есть по 97,8 км² на крыло и по 293,4 км² на заднюю раму цилиндра. При солнечной постоянной в точке L1 1 361 Вт/м², КПД фотопреобразователей 25 % и коэффициенте заполнения 0,268 собирается 53,4 ГВт — 7,41 % электрической мощности станции.</w:t>
      </w:r>
    </w:p>
    <w:p>
      <w:pPr>
        <w:pageBreakBefore w:val="0"/>
        <w:spacing w:after="80" w:line="269" w:lineRule="auto"/>
        <w:ind w:firstLine="397"/>
        <w:jc w:val="both"/>
      </w:pPr>
      <w:r>
        <w:rPr>
          <w:rFonts w:ascii="Times New Roman" w:hAnsi="Times New Roman" w:eastAsia="Times New Roman"/>
          <w:b w:val="0"/>
          <w:i w:val="0"/>
          <w:color w:val="20252B"/>
          <w:sz w:val="20"/>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pageBreakBefore w:val="0"/>
        <w:spacing w:after="80" w:line="269" w:lineRule="auto"/>
        <w:ind w:firstLine="397"/>
        <w:jc w:val="both"/>
      </w:pPr>
      <w:r>
        <w:rPr>
          <w:rFonts w:ascii="Times New Roman" w:hAnsi="Times New Roman" w:eastAsia="Times New Roman"/>
          <w:b w:val="0"/>
          <w:i w:val="0"/>
          <w:color w:val="20252B"/>
          <w:sz w:val="20"/>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pageBreakBefore w:val="0"/>
        <w:spacing w:after="80" w:line="269" w:lineRule="auto"/>
        <w:ind w:firstLine="397"/>
        <w:jc w:val="both"/>
      </w:pPr>
      <w:r>
        <w:rPr>
          <w:rFonts w:ascii="Times New Roman" w:hAnsi="Times New Roman" w:eastAsia="Times New Roman"/>
          <w:b w:val="0"/>
          <w:i w:val="0"/>
          <w:color w:val="20252B"/>
          <w:sz w:val="20"/>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pageBreakBefore w:val="0"/>
        <w:spacing w:after="80" w:line="269" w:lineRule="auto"/>
        <w:ind w:firstLine="397"/>
        <w:jc w:val="both"/>
      </w:pPr>
      <w:r>
        <w:rPr>
          <w:rFonts w:ascii="Times New Roman" w:hAnsi="Times New Roman" w:eastAsia="Times New Roman"/>
          <w:b w:val="0"/>
          <w:i w:val="0"/>
          <w:color w:val="20252B"/>
          <w:sz w:val="20"/>
        </w:rPr>
        <w:t>Фотоэлектрические батареи размещаются на раскрывающихся поворотных крыльях, установленных на подшипниковых узлах. Крылья доворачиваются к светилу независимо от неподвижного корпуса, поэтому вспомогательная генерация доступна в течение всего года.</w:t>
      </w:r>
    </w:p>
    <w:p>
      <w:pPr>
        <w:pageBreakBefore w:val="0"/>
        <w:spacing w:after="80" w:line="269" w:lineRule="auto"/>
        <w:ind w:firstLine="397"/>
        <w:jc w:val="both"/>
      </w:pPr>
      <w:r>
        <w:rPr>
          <w:rFonts w:ascii="Times New Roman" w:hAnsi="Times New Roman" w:eastAsia="Times New Roman"/>
          <w:b w:val="0"/>
          <w:i w:val="0"/>
          <w:color w:val="20252B"/>
          <w:sz w:val="20"/>
        </w:rPr>
        <w:t>Устройство крыла. Каждое из шести крыльев собрано из складных секций, раскрывающихся после выведения наподобие гармошки; в сложенном виде крыло убирается к заднему узлу. Крыло опирается на моторизованный поворотный шарнир с двумя степенями свободы, размещённый на невращающейся части задней рамы. Три шарнира одной рамы разнесены по локальному азимуту на 120°.</w:t>
      </w:r>
    </w:p>
    <w:p>
      <w:pPr>
        <w:pageBreakBefore w:val="0"/>
        <w:spacing w:after="80" w:line="269" w:lineRule="auto"/>
        <w:ind w:firstLine="397"/>
        <w:jc w:val="both"/>
      </w:pPr>
      <w:r>
        <w:rPr>
          <w:rFonts w:ascii="Times New Roman" w:hAnsi="Times New Roman" w:eastAsia="Times New Roman"/>
          <w:b w:val="0"/>
          <w:i w:val="0"/>
          <w:color w:val="20252B"/>
          <w:sz w:val="20"/>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pageBreakBefore w:val="0"/>
        <w:spacing w:after="80" w:line="269" w:lineRule="auto"/>
        <w:ind w:firstLine="397"/>
        <w:jc w:val="both"/>
      </w:pPr>
      <w:r>
        <w:rPr>
          <w:rFonts w:ascii="Times New Roman" w:hAnsi="Times New Roman" w:eastAsia="Times New Roman"/>
          <w:b w:val="0"/>
          <w:i w:val="0"/>
          <w:color w:val="20252B"/>
          <w:sz w:val="20"/>
        </w:rPr>
        <w:t>Расчётная площадь шести задних крыльев принимается равной 586,8 км², то есть по 97,8 км² на крыло.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pageBreakBefore w:val="0"/>
        <w:spacing w:after="80" w:line="269" w:lineRule="auto"/>
        <w:ind w:firstLine="397"/>
        <w:jc w:val="both"/>
      </w:pPr>
      <w:r>
        <w:rPr>
          <w:rFonts w:ascii="Times New Roman" w:hAnsi="Times New Roman" w:eastAsia="Times New Roman"/>
          <w:b w:val="0"/>
          <w:i w:val="0"/>
          <w:color w:val="20252B"/>
          <w:sz w:val="20"/>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pStyle w:val="Heading1"/>
        <w:keepNext/>
        <w:pageBreakBefore w:val="0"/>
        <w:spacing w:after="40"/>
        <w:jc w:val="left"/>
      </w:pPr>
      <w:r>
        <w:rPr>
          <w:rFonts w:ascii="Times New Roman" w:hAnsi="Times New Roman" w:eastAsia="Times New Roman"/>
          <w:b/>
          <w:i w:val="0"/>
          <w:color w:val="1F3A5F"/>
          <w:sz w:val="30"/>
        </w:rPr>
        <w:t>8. ПРОГРАММА ДОБЫЧИ ЛЕТУЧИХ И ВОДЫ</w:t>
      </w:r>
    </w:p>
    <w:p>
      <w:pPr>
        <w:pageBreakBefore w:val="0"/>
        <w:spacing w:after="80" w:line="269" w:lineRule="auto"/>
        <w:ind w:firstLine="397"/>
        <w:jc w:val="both"/>
      </w:pPr>
      <w:r>
        <w:rPr>
          <w:rFonts w:ascii="Times New Roman" w:hAnsi="Times New Roman" w:eastAsia="Times New Roman"/>
          <w:b w:val="0"/>
          <w:i w:val="0"/>
          <w:color w:val="20252B"/>
          <w:sz w:val="20"/>
        </w:rPr>
        <w:t>Программа добычи охватывает атмосферные летучие общей массой 7,55 млрд т и воду массой 1,17 млрд т. Для воды и летучих разработан концептуальный контур добычи в настоящей главе; промышленный график, квалификация оборудования и полномасштабные испытания требуют отдельной разработки.</w:t>
      </w:r>
    </w:p>
    <w:p>
      <w:pPr>
        <w:pStyle w:val="Heading2"/>
        <w:keepNext/>
        <w:pageBreakBefore w:val="0"/>
        <w:spacing w:after="40"/>
        <w:jc w:val="left"/>
      </w:pPr>
      <w:r>
        <w:rPr>
          <w:rFonts w:ascii="Times New Roman" w:hAnsi="Times New Roman" w:eastAsia="Times New Roman"/>
          <w:b/>
          <w:i w:val="0"/>
          <w:color w:val="2F5D83"/>
          <w:sz w:val="25"/>
        </w:rPr>
        <w:t>8.1. Состав потребных летучих</w:t>
      </w:r>
    </w:p>
    <w:p>
      <w:pPr>
        <w:pageBreakBefore w:val="0"/>
        <w:spacing w:after="80" w:line="269" w:lineRule="auto"/>
        <w:ind w:firstLine="397"/>
        <w:jc w:val="both"/>
      </w:pPr>
      <w:r>
        <w:rPr>
          <w:rFonts w:ascii="Times New Roman" w:hAnsi="Times New Roman" w:eastAsia="Times New Roman"/>
          <w:b w:val="0"/>
          <w:i w:val="0"/>
          <w:color w:val="20252B"/>
          <w:sz w:val="20"/>
        </w:rPr>
        <w:t>Атмосферный баланс станции составляет 7,55 млрд т; его радиальное распределение рассчитано по вращательному барометрическому закону. Вода учитывается отдельно — 1,17 млрд т. Добыча и подготовка этих потоков рассматриваются раздельно по источникам и технологии.</w:t>
      </w:r>
    </w:p>
    <w:p>
      <w:pPr>
        <w:pStyle w:val="Heading2"/>
        <w:keepNext/>
        <w:pageBreakBefore w:val="0"/>
        <w:spacing w:after="40"/>
        <w:jc w:val="left"/>
      </w:pPr>
      <w:r>
        <w:rPr>
          <w:rFonts w:ascii="Times New Roman" w:hAnsi="Times New Roman" w:eastAsia="Times New Roman"/>
          <w:b/>
          <w:i w:val="0"/>
          <w:color w:val="2F5D83"/>
          <w:sz w:val="25"/>
        </w:rPr>
        <w:t>8.2. Кислород: отдельной программы не требуется</w:t>
      </w:r>
    </w:p>
    <w:p>
      <w:pPr>
        <w:pageBreakBefore w:val="0"/>
        <w:spacing w:after="80" w:line="269" w:lineRule="auto"/>
        <w:ind w:firstLine="397"/>
        <w:jc w:val="both"/>
      </w:pPr>
      <w:r>
        <w:rPr>
          <w:rFonts w:ascii="Times New Roman" w:hAnsi="Times New Roman" w:eastAsia="Times New Roman"/>
          <w:b w:val="0"/>
          <w:i w:val="0"/>
          <w:color w:val="20252B"/>
          <w:sz w:val="20"/>
        </w:rPr>
        <w:t>Кислород — самый распространённый элемент каменных тел Солнечной системы. Для получения расчётной кислородной квоты около 1,69 млрд т достаточно переработать около 3,94 млрд т силикатного реголита.</w:t>
      </w:r>
    </w:p>
    <w:p>
      <w:pPr>
        <w:pageBreakBefore w:val="0"/>
        <w:spacing w:after="80" w:line="269" w:lineRule="auto"/>
        <w:ind w:firstLine="397"/>
        <w:jc w:val="both"/>
      </w:pPr>
      <w:r>
        <w:rPr>
          <w:rFonts w:ascii="Times New Roman" w:hAnsi="Times New Roman" w:eastAsia="Times New Roman"/>
          <w:b w:val="0"/>
          <w:i w:val="0"/>
          <w:color w:val="20252B"/>
          <w:sz w:val="20"/>
        </w:rPr>
        <w:t>Проект предусматривает переработку 4,65 млрд т реголита и боросиликата для радиационной защиты и 8,13 млрд т грунта. Кислород извлекается попутно из уже добываемого силикатного сырья; отдельная промышленная установка остаётся задачей квалификации.</w:t>
      </w:r>
    </w:p>
    <w:p>
      <w:pPr>
        <w:pageBreakBefore w:val="0"/>
        <w:spacing w:after="80" w:line="269" w:lineRule="auto"/>
        <w:ind w:firstLine="397"/>
        <w:jc w:val="both"/>
      </w:pPr>
      <w:r>
        <w:rPr>
          <w:rFonts w:ascii="Times New Roman" w:hAnsi="Times New Roman" w:eastAsia="Times New Roman"/>
          <w:b w:val="0"/>
          <w:i w:val="0"/>
          <w:color w:val="20252B"/>
          <w:sz w:val="20"/>
        </w:rPr>
        <w:t>Энергетическая оценка извлечения кислорода составляет порядка 2,5·10¹⁰ МВт·ч для 1,69 млрд т; график добычи и энергетика внешнего добывающего комплекса требуют отдельного проектирования.</w:t>
      </w:r>
    </w:p>
    <w:p>
      <w:pPr>
        <w:pStyle w:val="Heading2"/>
        <w:keepNext/>
        <w:pageBreakBefore w:val="0"/>
        <w:spacing w:after="40"/>
        <w:jc w:val="left"/>
      </w:pPr>
      <w:r>
        <w:rPr>
          <w:rFonts w:ascii="Times New Roman" w:hAnsi="Times New Roman" w:eastAsia="Times New Roman"/>
          <w:b/>
          <w:i w:val="0"/>
          <w:color w:val="2F5D83"/>
          <w:sz w:val="25"/>
        </w:rPr>
        <w:t>8.3. Вода: достижимо</w:t>
      </w:r>
    </w:p>
    <w:p>
      <w:pPr>
        <w:pageBreakBefore w:val="0"/>
        <w:spacing w:after="80" w:line="269" w:lineRule="auto"/>
        <w:ind w:firstLine="397"/>
        <w:jc w:val="both"/>
      </w:pPr>
      <w:r>
        <w:rPr>
          <w:rFonts w:ascii="Times New Roman" w:hAnsi="Times New Roman" w:eastAsia="Times New Roman"/>
          <w:b w:val="0"/>
          <w:i w:val="0"/>
          <w:color w:val="20252B"/>
          <w:sz w:val="20"/>
        </w:rPr>
        <w:t>Для получения 1,17 млрд т воды требуется переработать около 5,85 млрд т CI-хондритов при содержании воды 20 % или около 9,75 млрд т CM-хондритов при содержании 12 %. Программа достижима на базе той же добывающей инфраструктуры.</w:t>
      </w:r>
    </w:p>
    <w:p>
      <w:pPr>
        <w:pageBreakBefore w:val="0"/>
        <w:spacing w:after="80" w:line="269" w:lineRule="auto"/>
        <w:ind w:firstLine="397"/>
        <w:jc w:val="both"/>
      </w:pPr>
      <w:r>
        <w:rPr>
          <w:rFonts w:ascii="Times New Roman" w:hAnsi="Times New Roman" w:eastAsia="Times New Roman"/>
          <w:b w:val="0"/>
          <w:i w:val="0"/>
          <w:color w:val="20252B"/>
          <w:sz w:val="20"/>
        </w:rPr>
        <w:t>Вода может служить источником кислорода электролизом, однако расходовать её на эту цель нецелесообразно: кислород извлекается из реголита, а вода в замкнутой системе имеет самостоятельную ресурсную ценность.</w:t>
      </w:r>
    </w:p>
    <w:p>
      <w:pPr>
        <w:pStyle w:val="Heading2"/>
        <w:keepNext/>
        <w:pageBreakBefore w:val="0"/>
        <w:spacing w:after="40"/>
        <w:jc w:val="left"/>
      </w:pPr>
      <w:r>
        <w:rPr>
          <w:rFonts w:ascii="Times New Roman" w:hAnsi="Times New Roman" w:eastAsia="Times New Roman"/>
          <w:b/>
          <w:i w:val="0"/>
          <w:color w:val="2F5D83"/>
          <w:sz w:val="25"/>
        </w:rPr>
        <w:t>8.4. Азот: позиция, определяющая программу</w:t>
      </w:r>
    </w:p>
    <w:p>
      <w:pPr>
        <w:pageBreakBefore w:val="0"/>
        <w:spacing w:after="80" w:line="269" w:lineRule="auto"/>
        <w:ind w:firstLine="397"/>
        <w:jc w:val="both"/>
      </w:pPr>
      <w:r>
        <w:rPr>
          <w:rFonts w:ascii="Times New Roman" w:hAnsi="Times New Roman" w:eastAsia="Times New Roman"/>
          <w:b w:val="0"/>
          <w:i w:val="0"/>
          <w:color w:val="20252B"/>
          <w:sz w:val="20"/>
        </w:rPr>
        <w:t>Азот является наиболее сложной частью атмосферной программы. При принятой оценке 5,51 млрд т азота переработка углистых хондритов с содержанием 0,15 % потребовала бы около 3 674 млрд т сырья; этот путь неприемлем.</w:t>
      </w:r>
    </w:p>
    <w:p>
      <w:pPr>
        <w:pageBreakBefore w:val="0"/>
        <w:spacing w:after="80" w:line="269" w:lineRule="auto"/>
        <w:ind w:firstLine="397"/>
        <w:jc w:val="both"/>
      </w:pPr>
      <w:r>
        <w:rPr>
          <w:rFonts w:ascii="Times New Roman" w:hAnsi="Times New Roman" w:eastAsia="Times New Roman"/>
          <w:b w:val="0"/>
          <w:i w:val="0"/>
          <w:color w:val="20252B"/>
          <w:sz w:val="20"/>
        </w:rPr>
        <w:t>Кометные льды содержат азотистые соединения примерно на уровне 1 % массы ядра. Для потребности 5,51 млрд т требуется около 551 млрд т кометного сырья; вариант технически возможен, но требует отдельной транспортной программы.</w:t>
      </w:r>
    </w:p>
    <w:p>
      <w:pPr>
        <w:pageBreakBefore w:val="0"/>
        <w:spacing w:after="80" w:line="269" w:lineRule="auto"/>
        <w:ind w:firstLine="397"/>
        <w:jc w:val="both"/>
      </w:pPr>
      <w:r>
        <w:rPr>
          <w:rFonts w:ascii="Times New Roman" w:hAnsi="Times New Roman" w:eastAsia="Times New Roman"/>
          <w:b w:val="0"/>
          <w:i w:val="0"/>
          <w:color w:val="20252B"/>
          <w:sz w:val="20"/>
        </w:rPr>
        <w:t>Атмосфера Титана содержит доступный азот, однако расстояние и энергетика транспортировки делают этот источник резервным вариантом.</w:t>
      </w:r>
    </w:p>
    <w:p>
      <w:pPr>
        <w:pageBreakBefore w:val="0"/>
        <w:spacing w:after="80" w:line="269" w:lineRule="auto"/>
        <w:ind w:firstLine="397"/>
        <w:jc w:val="both"/>
      </w:pPr>
      <w:r>
        <w:rPr>
          <w:rFonts w:ascii="Times New Roman" w:hAnsi="Times New Roman" w:eastAsia="Times New Roman"/>
          <w:b w:val="0"/>
          <w:i w:val="0"/>
          <w:color w:val="20252B"/>
          <w:sz w:val="20"/>
        </w:rPr>
        <w:t>При строительстве станции за 50 лет грузопоток по азоту составил бы около 110 млн т в год, а по стали — около 403 млн т в год. Транспортная программа должна учитывать источник, окна перелёта и резерв поставок.</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80000" cy="269891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21 — программа добычи летучих: потребные объёмы сырья по источникам</w:t>
      </w:r>
    </w:p>
    <w:p>
      <w:pPr>
        <w:pStyle w:val="Heading2"/>
        <w:keepNext/>
        <w:pageBreakBefore w:val="0"/>
        <w:spacing w:after="40"/>
        <w:jc w:val="left"/>
      </w:pPr>
      <w:r>
        <w:rPr>
          <w:rFonts w:ascii="Times New Roman" w:hAnsi="Times New Roman" w:eastAsia="Times New Roman"/>
          <w:b/>
          <w:i w:val="0"/>
          <w:color w:val="2F5D83"/>
          <w:sz w:val="25"/>
        </w:rPr>
        <w:t>8.5. Вариант снижения потребности в азоте</w:t>
      </w:r>
    </w:p>
    <w:p>
      <w:pPr>
        <w:pageBreakBefore w:val="0"/>
        <w:spacing w:after="80" w:line="269" w:lineRule="auto"/>
        <w:ind w:firstLine="397"/>
        <w:jc w:val="both"/>
      </w:pPr>
      <w:r>
        <w:rPr>
          <w:rFonts w:ascii="Times New Roman" w:hAnsi="Times New Roman" w:eastAsia="Times New Roman"/>
          <w:b w:val="0"/>
          <w:i w:val="0"/>
          <w:color w:val="20252B"/>
          <w:sz w:val="20"/>
        </w:rPr>
        <w:t>Дополнительный вариант — снизить массу буферного газа, а не только наращивать добычу. Земной состав атмосферы принят как базовый, но не является единственным физиологически возможным режимом.</w:t>
      </w:r>
    </w:p>
    <w:p>
      <w:pPr>
        <w:pageBreakBefore w:val="0"/>
        <w:spacing w:after="80" w:line="269" w:lineRule="auto"/>
        <w:ind w:firstLine="397"/>
        <w:jc w:val="both"/>
      </w:pPr>
      <w:r>
        <w:rPr>
          <w:rFonts w:ascii="Times New Roman" w:hAnsi="Times New Roman" w:eastAsia="Times New Roman"/>
          <w:b w:val="0"/>
          <w:i w:val="0"/>
          <w:color w:val="20252B"/>
          <w:sz w:val="20"/>
        </w:rPr>
        <w:t>При снижении общего давления до 70 кПа и доле кислорода 30 % парциальное давление кислорода сохраняется, а масса атмосферы ориентировочно снижается до 5,26 млрд т; потребность в азоте — до 3,53 млрд т. Решение требует отдельной оценки пожарной безопасности.</w:t>
      </w:r>
    </w:p>
    <w:p>
      <w:pPr>
        <w:pageBreakBefore w:val="0"/>
        <w:spacing w:after="80" w:line="269" w:lineRule="auto"/>
        <w:ind w:firstLine="397"/>
        <w:jc w:val="both"/>
      </w:pPr>
      <w:r>
        <w:rPr>
          <w:rFonts w:ascii="Times New Roman" w:hAnsi="Times New Roman" w:eastAsia="Times New Roman"/>
          <w:b w:val="0"/>
          <w:i w:val="0"/>
          <w:color w:val="20252B"/>
          <w:sz w:val="20"/>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pageBreakBefore w:val="0"/>
        <w:spacing w:after="80" w:line="269" w:lineRule="auto"/>
        <w:ind w:firstLine="397"/>
        <w:jc w:val="both"/>
      </w:pPr>
      <w:r>
        <w:rPr>
          <w:rFonts w:ascii="Times New Roman" w:hAnsi="Times New Roman" w:eastAsia="Times New Roman"/>
          <w:b w:val="0"/>
          <w:i w:val="0"/>
          <w:color w:val="20252B"/>
          <w:sz w:val="20"/>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pageBreakBefore w:val="0"/>
        <w:spacing w:after="80" w:line="269" w:lineRule="auto"/>
        <w:ind w:firstLine="397"/>
        <w:jc w:val="both"/>
      </w:pPr>
      <w:r>
        <w:rPr>
          <w:rFonts w:ascii="Times New Roman" w:hAnsi="Times New Roman" w:eastAsia="Times New Roman"/>
          <w:b w:val="0"/>
          <w:i w:val="0"/>
          <w:color w:val="20252B"/>
          <w:sz w:val="20"/>
        </w:rPr>
        <w:t>Вариант пониженного давления с повышенной долей кислорода следует рассматривать как альтернативный режим. Окончательный состав атмосферы требует отдельного расчёта пожарной безопасности, физиологии и динамики замкнутого цикла.</w:t>
      </w:r>
    </w:p>
    <w:p>
      <w:pPr>
        <w:pStyle w:val="Heading2"/>
        <w:keepNext/>
        <w:pageBreakBefore w:val="0"/>
        <w:spacing w:after="40"/>
        <w:jc w:val="left"/>
      </w:pPr>
      <w:r>
        <w:rPr>
          <w:rFonts w:ascii="Times New Roman" w:hAnsi="Times New Roman" w:eastAsia="Times New Roman"/>
          <w:b/>
          <w:i w:val="0"/>
          <w:color w:val="2F5D83"/>
          <w:sz w:val="25"/>
        </w:rPr>
        <w:t>8.6. Уточнение доли бытового потребления электроэнергии</w:t>
      </w:r>
    </w:p>
    <w:p>
      <w:pPr>
        <w:pStyle w:val="Heading2"/>
        <w:keepNext/>
        <w:pageBreakBefore w:val="0"/>
        <w:spacing w:after="40"/>
        <w:jc w:val="left"/>
      </w:pPr>
      <w:r>
        <w:rPr>
          <w:rFonts w:ascii="Times New Roman" w:hAnsi="Times New Roman" w:eastAsia="Times New Roman"/>
          <w:b/>
          <w:i w:val="0"/>
          <w:color w:val="2F5D83"/>
          <w:sz w:val="25"/>
        </w:rPr>
        <w:t>8.7. Размещение ресурсных тел в Солнечной системе</w:t>
      </w:r>
    </w:p>
    <w:p>
      <w:pPr>
        <w:pageBreakBefore w:val="0"/>
        <w:spacing w:after="80" w:line="269" w:lineRule="auto"/>
        <w:ind w:firstLine="397"/>
        <w:jc w:val="both"/>
      </w:pPr>
      <w:r>
        <w:rPr>
          <w:rFonts w:ascii="Times New Roman" w:hAnsi="Times New Roman" w:eastAsia="Times New Roman"/>
          <w:b w:val="0"/>
          <w:i w:val="0"/>
          <w:color w:val="20252B"/>
          <w:sz w:val="20"/>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pageBreakBefore w:val="0"/>
        <w:spacing w:after="80" w:line="269" w:lineRule="auto"/>
        <w:ind w:firstLine="397"/>
        <w:jc w:val="both"/>
      </w:pPr>
      <w:r>
        <w:rPr>
          <w:rFonts w:ascii="Times New Roman" w:hAnsi="Times New Roman" w:eastAsia="Times New Roman"/>
          <w:b w:val="0"/>
          <w:i w:val="0"/>
          <w:color w:val="20252B"/>
          <w:sz w:val="20"/>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pageBreakBefore w:val="0"/>
        <w:spacing w:after="80" w:line="269" w:lineRule="auto"/>
        <w:ind w:firstLine="397"/>
        <w:jc w:val="both"/>
      </w:pPr>
      <w:r>
        <w:rPr>
          <w:rFonts w:ascii="Times New Roman" w:hAnsi="Times New Roman" w:eastAsia="Times New Roman"/>
          <w:b w:val="0"/>
          <w:i w:val="0"/>
          <w:color w:val="20252B"/>
          <w:sz w:val="20"/>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pageBreakBefore w:val="0"/>
        <w:spacing w:after="80" w:line="269" w:lineRule="auto"/>
        <w:ind w:firstLine="397"/>
        <w:jc w:val="both"/>
      </w:pPr>
      <w:r>
        <w:rPr>
          <w:rFonts w:ascii="Times New Roman" w:hAnsi="Times New Roman" w:eastAsia="Times New Roman"/>
          <w:b w:val="0"/>
          <w:i w:val="0"/>
          <w:color w:val="20252B"/>
          <w:sz w:val="20"/>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pPr>
        <w:pageBreakBefore w:val="0"/>
        <w:spacing w:after="80" w:line="269" w:lineRule="auto"/>
        <w:ind w:firstLine="397"/>
        <w:jc w:val="both"/>
      </w:pPr>
      <w:r>
        <w:rPr>
          <w:rFonts w:ascii="Times New Roman" w:hAnsi="Times New Roman" w:eastAsia="Times New Roman"/>
          <w:b w:val="0"/>
          <w:i w:val="0"/>
          <w:color w:val="20252B"/>
          <w:sz w:val="20"/>
        </w:rPr>
        <w:t>Карта ресурсных тел программы вынесена из настоящего документа отдельным листом формата A3, альбомная ориентация (420 × 297 мм), «Ресурсная база программы» (файлы resource_map.png и resource_map.pdf). На ней показаны орбиты Земли, Марса и Юпитера, главный пояс астероидов, троянцы, положение станции в точке L1 и пять ресурсных орбит с точками перигелия и афелия. Текущие положения тел на схеме не отображаются. Диаметры пяти тел вынесены в правую легенду вместе с их ресурсной ролью и орбитальными параметрами. Компоновка рассчитана на печать одним читаемым листом A3: карта занимает левую часть, а легенда источников и материальный баланс — правую.</w:t>
      </w:r>
    </w:p>
    <w:p>
      <w:pPr>
        <w:pageBreakBefore w:val="0"/>
        <w:spacing w:after="80" w:line="269" w:lineRule="auto"/>
        <w:ind w:firstLine="397"/>
        <w:jc w:val="both"/>
      </w:pPr>
      <w:r>
        <w:rPr>
          <w:rFonts w:ascii="Times New Roman" w:hAnsi="Times New Roman" w:eastAsia="Times New Roman"/>
          <w:b w:val="0"/>
          <w:i w:val="0"/>
          <w:color w:val="20252B"/>
          <w:sz w:val="20"/>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pageBreakBefore w:val="0"/>
        <w:spacing w:after="80" w:line="269" w:lineRule="auto"/>
        <w:ind w:firstLine="397"/>
        <w:jc w:val="both"/>
      </w:pPr>
      <w:r>
        <w:rPr>
          <w:rFonts w:ascii="Times New Roman" w:hAnsi="Times New Roman" w:eastAsia="Times New Roman"/>
          <w:b w:val="0"/>
          <w:i w:val="0"/>
          <w:color w:val="20252B"/>
          <w:sz w:val="20"/>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pageBreakBefore w:val="0"/>
        <w:spacing w:after="80" w:line="269" w:lineRule="auto"/>
        <w:ind w:firstLine="397"/>
        <w:jc w:val="both"/>
      </w:pPr>
      <w:r>
        <w:rPr>
          <w:rFonts w:ascii="Times New Roman" w:hAnsi="Times New Roman" w:eastAsia="Times New Roman"/>
          <w:b w:val="0"/>
          <w:i w:val="0"/>
          <w:color w:val="20252B"/>
          <w:sz w:val="20"/>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pageBreakBefore w:val="0"/>
        <w:spacing w:after="80" w:line="269" w:lineRule="auto"/>
        <w:ind w:firstLine="397"/>
        <w:jc w:val="both"/>
      </w:pPr>
      <w:r>
        <w:rPr>
          <w:rFonts w:ascii="Times New Roman" w:hAnsi="Times New Roman" w:eastAsia="Times New Roman"/>
          <w:b w:val="0"/>
          <w:i w:val="0"/>
          <w:color w:val="20252B"/>
          <w:sz w:val="20"/>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pStyle w:val="Heading1"/>
        <w:keepNext/>
        <w:pageBreakBefore w:val="0"/>
        <w:spacing w:after="40"/>
        <w:jc w:val="left"/>
      </w:pPr>
      <w:r>
        <w:rPr>
          <w:rFonts w:ascii="Times New Roman" w:hAnsi="Times New Roman" w:eastAsia="Times New Roman"/>
          <w:b/>
          <w:i w:val="0"/>
          <w:color w:val="1F3A5F"/>
          <w:sz w:val="30"/>
        </w:rPr>
        <w:t>9. КАРАНТИННЫЙ КОНТУР</w:t>
      </w:r>
    </w:p>
    <w:p>
      <w:pPr>
        <w:pageBreakBefore w:val="0"/>
        <w:spacing w:after="80" w:line="269" w:lineRule="auto"/>
        <w:ind w:firstLine="397"/>
        <w:jc w:val="both"/>
      </w:pPr>
      <w:r>
        <w:rPr>
          <w:rFonts w:ascii="Times New Roman" w:hAnsi="Times New Roman" w:eastAsia="Times New Roman"/>
          <w:b w:val="0"/>
          <w:i w:val="0"/>
          <w:color w:val="20252B"/>
          <w:sz w:val="20"/>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pStyle w:val="Heading2"/>
        <w:keepNext/>
        <w:pageBreakBefore w:val="0"/>
        <w:spacing w:after="40"/>
        <w:jc w:val="left"/>
      </w:pPr>
      <w:r>
        <w:rPr>
          <w:rFonts w:ascii="Times New Roman" w:hAnsi="Times New Roman" w:eastAsia="Times New Roman"/>
          <w:b/>
          <w:i w:val="0"/>
          <w:color w:val="2F5D83"/>
          <w:sz w:val="25"/>
        </w:rPr>
        <w:t>9.1. Размещение и принцип</w:t>
      </w:r>
    </w:p>
    <w:p>
      <w:pPr>
        <w:pageBreakBefore w:val="0"/>
        <w:spacing w:after="80" w:line="269" w:lineRule="auto"/>
        <w:ind w:firstLine="397"/>
        <w:jc w:val="both"/>
      </w:pPr>
      <w:r>
        <w:rPr>
          <w:rFonts w:ascii="Times New Roman" w:hAnsi="Times New Roman" w:eastAsia="Times New Roman"/>
          <w:b w:val="0"/>
          <w:i w:val="0"/>
          <w:color w:val="20252B"/>
          <w:sz w:val="20"/>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pageBreakBefore w:val="0"/>
        <w:spacing w:after="80" w:line="269" w:lineRule="auto"/>
        <w:ind w:firstLine="397"/>
        <w:jc w:val="both"/>
      </w:pPr>
      <w:r>
        <w:rPr>
          <w:rFonts w:ascii="Times New Roman" w:hAnsi="Times New Roman" w:eastAsia="Times New Roman"/>
          <w:b w:val="0"/>
          <w:i w:val="0"/>
          <w:color w:val="20252B"/>
          <w:sz w:val="20"/>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2923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22 — карантинный контур: четыре потока и три ступени обработки</w:t>
      </w:r>
    </w:p>
    <w:p>
      <w:pPr>
        <w:pStyle w:val="Heading2"/>
        <w:keepNext/>
        <w:pageBreakBefore w:val="0"/>
        <w:spacing w:after="40"/>
        <w:jc w:val="left"/>
      </w:pPr>
      <w:r>
        <w:rPr>
          <w:rFonts w:ascii="Times New Roman" w:hAnsi="Times New Roman" w:eastAsia="Times New Roman"/>
          <w:b/>
          <w:i w:val="0"/>
          <w:color w:val="2F5D83"/>
          <w:sz w:val="25"/>
        </w:rPr>
        <w:t>9.2. Люди: выдержка сорок суток</w:t>
      </w:r>
    </w:p>
    <w:p>
      <w:pPr>
        <w:pageBreakBefore w:val="0"/>
        <w:spacing w:after="80" w:line="269" w:lineRule="auto"/>
        <w:ind w:firstLine="397"/>
        <w:jc w:val="both"/>
      </w:pPr>
      <w:r>
        <w:rPr>
          <w:rFonts w:ascii="Times New Roman" w:hAnsi="Times New Roman" w:eastAsia="Times New Roman"/>
          <w:b w:val="0"/>
          <w:i w:val="0"/>
          <w:color w:val="20252B"/>
          <w:sz w:val="20"/>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pageBreakBefore w:val="0"/>
        <w:spacing w:after="80" w:line="269" w:lineRule="auto"/>
        <w:ind w:firstLine="397"/>
        <w:jc w:val="both"/>
      </w:pPr>
      <w:r>
        <w:rPr>
          <w:rFonts w:ascii="Times New Roman" w:hAnsi="Times New Roman" w:eastAsia="Times New Roman"/>
          <w:b w:val="0"/>
          <w:i w:val="0"/>
          <w:color w:val="20252B"/>
          <w:sz w:val="20"/>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pageBreakBefore w:val="0"/>
        <w:spacing w:after="80" w:line="269" w:lineRule="auto"/>
        <w:ind w:firstLine="397"/>
        <w:jc w:val="both"/>
      </w:pPr>
      <w:r>
        <w:rPr>
          <w:rFonts w:ascii="Times New Roman" w:hAnsi="Times New Roman" w:eastAsia="Times New Roman"/>
          <w:b w:val="0"/>
          <w:i w:val="0"/>
          <w:color w:val="20252B"/>
          <w:sz w:val="20"/>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Это значение определяет размер карантинного жилого блока.</w:t>
      </w:r>
    </w:p>
    <w:p>
      <w:pPr>
        <w:pageBreakBefore w:val="0"/>
        <w:spacing w:after="80" w:line="269" w:lineRule="auto"/>
        <w:ind w:firstLine="397"/>
        <w:jc w:val="both"/>
      </w:pPr>
      <w:r>
        <w:rPr>
          <w:rFonts w:ascii="Times New Roman" w:hAnsi="Times New Roman" w:eastAsia="Times New Roman"/>
          <w:b w:val="0"/>
          <w:i w:val="0"/>
          <w:color w:val="20252B"/>
          <w:sz w:val="20"/>
        </w:rP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pPr>
        <w:pageBreakBefore w:val="0"/>
        <w:spacing w:after="80" w:line="269" w:lineRule="auto"/>
        <w:ind w:firstLine="397"/>
        <w:jc w:val="both"/>
      </w:pPr>
      <w:r>
        <w:rPr>
          <w:rFonts w:ascii="Times New Roman" w:hAnsi="Times New Roman" w:eastAsia="Times New Roman"/>
          <w:b w:val="0"/>
          <w:i w:val="0"/>
          <w:color w:val="20252B"/>
          <w:sz w:val="20"/>
        </w:rP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pPr>
        <w:pageBreakBefore w:val="0"/>
        <w:spacing w:after="80" w:line="269" w:lineRule="auto"/>
        <w:ind w:firstLine="397"/>
        <w:jc w:val="both"/>
      </w:pPr>
      <w:r>
        <w:rPr>
          <w:rFonts w:ascii="Times New Roman" w:hAnsi="Times New Roman" w:eastAsia="Times New Roman"/>
          <w:b w:val="0"/>
          <w:i w:val="0"/>
          <w:color w:val="20252B"/>
          <w:sz w:val="20"/>
        </w:rPr>
        <w:t>Соотношение с транспортом. Транспортная система двух цилиндров даёт 2 700 человек в час, то есть 64 800 человек в сутки. Требуемый санитарным барьером поток — 274 человека в сутки. Запас составляет 236 раз: транспорт заведомо не является узким местом, узким местом остаётся карантин.</w:t>
      </w:r>
    </w:p>
    <w:p>
      <w:pPr>
        <w:pStyle w:val="Heading2"/>
        <w:keepNext/>
        <w:pageBreakBefore w:val="0"/>
        <w:spacing w:after="40"/>
        <w:jc w:val="left"/>
      </w:pPr>
      <w:r>
        <w:rPr>
          <w:rFonts w:ascii="Times New Roman" w:hAnsi="Times New Roman" w:eastAsia="Times New Roman"/>
          <w:b/>
          <w:i w:val="0"/>
          <w:color w:val="2F5D83"/>
          <w:sz w:val="25"/>
        </w:rPr>
        <w:t>9.3. Расчётный срок заселения</w:t>
      </w:r>
    </w:p>
    <w:p>
      <w:pPr>
        <w:pageBreakBefore w:val="0"/>
        <w:spacing w:after="80" w:line="269" w:lineRule="auto"/>
        <w:ind w:firstLine="397"/>
        <w:jc w:val="both"/>
      </w:pPr>
      <w:r>
        <w:rPr>
          <w:rFonts w:ascii="Times New Roman" w:hAnsi="Times New Roman" w:eastAsia="Times New Roman"/>
          <w:b w:val="0"/>
          <w:i w:val="0"/>
          <w:color w:val="20252B"/>
          <w:sz w:val="20"/>
        </w:rPr>
        <w:t>Пункт 4.7.6 приводит пропускную способность транспортной системы: четыре коридора двух цилиндров обеспечивают заселение 500 000 человек примерно за 7,7 суток при полной работе, или 15,4 суток для одного цилиндра. Введение карантина делает эту величину недостижимой как проектный срок.</w:t>
      </w:r>
    </w:p>
    <w:p>
      <w:pPr>
        <w:pageBreakBefore w:val="0"/>
        <w:spacing w:after="80" w:line="269" w:lineRule="auto"/>
        <w:ind w:firstLine="397"/>
        <w:jc w:val="both"/>
      </w:pPr>
      <w:r>
        <w:rPr>
          <w:rFonts w:ascii="Times New Roman" w:hAnsi="Times New Roman" w:eastAsia="Times New Roman"/>
          <w:b w:val="0"/>
          <w:i w:val="0"/>
          <w:color w:val="20252B"/>
          <w:sz w:val="20"/>
        </w:rPr>
        <w:t>Расчёт прямой. Чтобы пропустить 500 000 человек через сорокасуточную выдержку за 7,7 суток — предельный срок, допускаемый транспортом (п. Б.17), — потребовалось бы 2 000 000 карантинных мест единовременно, то есть больше, чем само население станции.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w:t>
      </w:r>
    </w:p>
    <w:p>
      <w:pPr>
        <w:pageBreakBefore w:val="0"/>
        <w:spacing w:after="80" w:line="269" w:lineRule="auto"/>
        <w:ind w:firstLine="397"/>
        <w:jc w:val="both"/>
      </w:pPr>
      <w:r>
        <w:rPr>
          <w:rFonts w:ascii="Times New Roman" w:hAnsi="Times New Roman" w:eastAsia="Times New Roman"/>
          <w:b w:val="0"/>
          <w:i w:val="0"/>
          <w:color w:val="20252B"/>
          <w:sz w:val="20"/>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1 350 человек в час на цилиндр, или 2 700 человек в час на станцию;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pStyle w:val="Heading2"/>
        <w:keepNext/>
        <w:pageBreakBefore w:val="0"/>
        <w:spacing w:after="40"/>
        <w:jc w:val="left"/>
      </w:pPr>
      <w:r>
        <w:rPr>
          <w:rFonts w:ascii="Times New Roman" w:hAnsi="Times New Roman" w:eastAsia="Times New Roman"/>
          <w:b/>
          <w:i w:val="0"/>
          <w:color w:val="2F5D83"/>
          <w:sz w:val="25"/>
        </w:rPr>
        <w:t>9.4. Живое: семена, почвенная биота, насекомые</w:t>
      </w:r>
    </w:p>
    <w:p>
      <w:pPr>
        <w:pageBreakBefore w:val="0"/>
        <w:spacing w:after="80" w:line="269" w:lineRule="auto"/>
        <w:ind w:firstLine="397"/>
        <w:jc w:val="both"/>
      </w:pPr>
      <w:r>
        <w:rPr>
          <w:rFonts w:ascii="Times New Roman" w:hAnsi="Times New Roman" w:eastAsia="Times New Roman"/>
          <w:b w:val="0"/>
          <w:i w:val="0"/>
          <w:color w:val="20252B"/>
          <w:sz w:val="20"/>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pageBreakBefore w:val="0"/>
        <w:spacing w:after="80" w:line="269" w:lineRule="auto"/>
        <w:ind w:firstLine="397"/>
        <w:jc w:val="both"/>
      </w:pPr>
      <w:r>
        <w:rPr>
          <w:rFonts w:ascii="Times New Roman" w:hAnsi="Times New Roman" w:eastAsia="Times New Roman"/>
          <w:b w:val="0"/>
          <w:i w:val="0"/>
          <w:color w:val="20252B"/>
          <w:sz w:val="20"/>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pageBreakBefore w:val="0"/>
        <w:spacing w:after="80" w:line="269" w:lineRule="auto"/>
        <w:ind w:firstLine="397"/>
        <w:jc w:val="both"/>
      </w:pPr>
      <w:r>
        <w:rPr>
          <w:rFonts w:ascii="Times New Roman" w:hAnsi="Times New Roman" w:eastAsia="Times New Roman"/>
          <w:b w:val="0"/>
          <w:i w:val="0"/>
          <w:color w:val="20252B"/>
          <w:sz w:val="20"/>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pStyle w:val="Heading2"/>
        <w:keepNext/>
        <w:pageBreakBefore w:val="0"/>
        <w:spacing w:after="40"/>
        <w:jc w:val="left"/>
      </w:pPr>
      <w:r>
        <w:rPr>
          <w:rFonts w:ascii="Times New Roman" w:hAnsi="Times New Roman" w:eastAsia="Times New Roman"/>
          <w:b/>
          <w:i w:val="0"/>
          <w:color w:val="2F5D83"/>
          <w:sz w:val="25"/>
        </w:rPr>
        <w:t>9.5. Грузы и оборудование</w:t>
      </w:r>
    </w:p>
    <w:p>
      <w:pPr>
        <w:pageBreakBefore w:val="0"/>
        <w:spacing w:after="80" w:line="269" w:lineRule="auto"/>
        <w:ind w:firstLine="397"/>
        <w:jc w:val="both"/>
      </w:pPr>
      <w:r>
        <w:rPr>
          <w:rFonts w:ascii="Times New Roman" w:hAnsi="Times New Roman" w:eastAsia="Times New Roman"/>
          <w:b w:val="0"/>
          <w:i w:val="0"/>
          <w:color w:val="20252B"/>
          <w:sz w:val="20"/>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pageBreakBefore w:val="0"/>
        <w:spacing w:after="80" w:line="269" w:lineRule="auto"/>
        <w:ind w:firstLine="397"/>
        <w:jc w:val="both"/>
      </w:pPr>
      <w:r>
        <w:rPr>
          <w:rFonts w:ascii="Times New Roman" w:hAnsi="Times New Roman" w:eastAsia="Times New Roman"/>
          <w:b w:val="0"/>
          <w:i w:val="0"/>
          <w:color w:val="20252B"/>
          <w:sz w:val="20"/>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pageBreakBefore w:val="0"/>
        <w:spacing w:after="80" w:line="269" w:lineRule="auto"/>
        <w:ind w:firstLine="397"/>
        <w:jc w:val="both"/>
      </w:pPr>
      <w:r>
        <w:rPr>
          <w:rFonts w:ascii="Times New Roman" w:hAnsi="Times New Roman" w:eastAsia="Times New Roman"/>
          <w:b w:val="0"/>
          <w:i w:val="0"/>
          <w:color w:val="20252B"/>
          <w:sz w:val="20"/>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pStyle w:val="Heading2"/>
        <w:keepNext/>
        <w:pageBreakBefore w:val="0"/>
        <w:spacing w:after="40"/>
        <w:jc w:val="left"/>
      </w:pPr>
      <w:r>
        <w:rPr>
          <w:rFonts w:ascii="Times New Roman" w:hAnsi="Times New Roman" w:eastAsia="Times New Roman"/>
          <w:b/>
          <w:i w:val="0"/>
          <w:color w:val="2F5D83"/>
          <w:sz w:val="25"/>
        </w:rPr>
        <w:t>9.6. Воздух и вода шлюза</w:t>
      </w:r>
    </w:p>
    <w:p>
      <w:pPr>
        <w:pageBreakBefore w:val="0"/>
        <w:spacing w:after="80" w:line="269" w:lineRule="auto"/>
        <w:ind w:firstLine="397"/>
        <w:jc w:val="both"/>
      </w:pPr>
      <w:r>
        <w:rPr>
          <w:rFonts w:ascii="Times New Roman" w:hAnsi="Times New Roman" w:eastAsia="Times New Roman"/>
          <w:b w:val="0"/>
          <w:i w:val="0"/>
          <w:color w:val="20252B"/>
          <w:sz w:val="20"/>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pageBreakBefore w:val="0"/>
        <w:spacing w:after="80" w:line="269" w:lineRule="auto"/>
        <w:ind w:firstLine="397"/>
        <w:jc w:val="both"/>
      </w:pPr>
      <w:r>
        <w:rPr>
          <w:rFonts w:ascii="Times New Roman" w:hAnsi="Times New Roman" w:eastAsia="Times New Roman"/>
          <w:b w:val="0"/>
          <w:i w:val="0"/>
          <w:color w:val="20252B"/>
          <w:sz w:val="20"/>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pStyle w:val="Heading2"/>
        <w:keepNext/>
        <w:pageBreakBefore w:val="0"/>
        <w:spacing w:after="40"/>
        <w:jc w:val="left"/>
      </w:pPr>
      <w:r>
        <w:rPr>
          <w:rFonts w:ascii="Times New Roman" w:hAnsi="Times New Roman" w:eastAsia="Times New Roman"/>
          <w:b/>
          <w:i w:val="0"/>
          <w:color w:val="2F5D83"/>
          <w:sz w:val="25"/>
        </w:rPr>
        <w:t>9.7. Внутренний контроль</w:t>
      </w:r>
    </w:p>
    <w:p>
      <w:pPr>
        <w:pageBreakBefore w:val="0"/>
        <w:spacing w:after="80" w:line="269" w:lineRule="auto"/>
        <w:ind w:firstLine="397"/>
        <w:jc w:val="both"/>
      </w:pPr>
      <w:r>
        <w:rPr>
          <w:rFonts w:ascii="Times New Roman" w:hAnsi="Times New Roman" w:eastAsia="Times New Roman"/>
          <w:b w:val="0"/>
          <w:i w:val="0"/>
          <w:color w:val="20252B"/>
          <w:sz w:val="20"/>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pageBreakBefore w:val="0"/>
        <w:spacing w:after="80" w:line="269" w:lineRule="auto"/>
        <w:ind w:firstLine="397"/>
        <w:jc w:val="both"/>
      </w:pPr>
      <w:r>
        <w:rPr>
          <w:rFonts w:ascii="Times New Roman" w:hAnsi="Times New Roman" w:eastAsia="Times New Roman"/>
          <w:b w:val="0"/>
          <w:i w:val="0"/>
          <w:color w:val="20252B"/>
          <w:sz w:val="20"/>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pStyle w:val="Heading1"/>
        <w:keepNext/>
        <w:pageBreakBefore w:val="0"/>
        <w:spacing w:after="40"/>
        <w:jc w:val="left"/>
      </w:pPr>
      <w:r>
        <w:rPr>
          <w:rFonts w:ascii="Times New Roman" w:hAnsi="Times New Roman" w:eastAsia="Times New Roman"/>
          <w:b/>
          <w:i w:val="0"/>
          <w:color w:val="1F3A5F"/>
          <w:sz w:val="30"/>
        </w:rPr>
        <w:t>10. ИЗГОТОВЛЕНИЕ И МОНТАЖ ОБОЛОЧКИ</w:t>
      </w:r>
    </w:p>
    <w:p>
      <w:pPr>
        <w:pageBreakBefore w:val="0"/>
        <w:spacing w:after="80" w:line="269" w:lineRule="auto"/>
        <w:ind w:firstLine="397"/>
        <w:jc w:val="both"/>
      </w:pPr>
      <w:r>
        <w:rPr>
          <w:rFonts w:ascii="Times New Roman" w:hAnsi="Times New Roman" w:eastAsia="Times New Roman"/>
          <w:b w:val="0"/>
          <w:i w:val="0"/>
          <w:color w:val="20252B"/>
          <w:sz w:val="20"/>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pStyle w:val="Heading2"/>
        <w:keepNext/>
        <w:pageBreakBefore w:val="0"/>
        <w:spacing w:after="40"/>
        <w:jc w:val="left"/>
      </w:pPr>
      <w:r>
        <w:rPr>
          <w:rFonts w:ascii="Times New Roman" w:hAnsi="Times New Roman" w:eastAsia="Times New Roman"/>
          <w:b/>
          <w:i w:val="0"/>
          <w:color w:val="2F5D83"/>
          <w:sz w:val="25"/>
        </w:rPr>
        <w:t>10.1. Исходное ограничение: отливка целиком невозможна</w:t>
      </w:r>
    </w:p>
    <w:p>
      <w:pPr>
        <w:pageBreakBefore w:val="0"/>
        <w:spacing w:after="80" w:line="269" w:lineRule="auto"/>
        <w:ind w:firstLine="397"/>
        <w:jc w:val="both"/>
      </w:pPr>
      <w:r>
        <w:rPr>
          <w:rFonts w:ascii="Times New Roman" w:hAnsi="Times New Roman" w:eastAsia="Times New Roman"/>
          <w:b w:val="0"/>
          <w:i w:val="0"/>
          <w:color w:val="20252B"/>
          <w:sz w:val="20"/>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pageBreakBefore w:val="0"/>
        <w:spacing w:after="80" w:line="269" w:lineRule="auto"/>
        <w:ind w:firstLine="397"/>
        <w:jc w:val="both"/>
      </w:pPr>
      <w:r>
        <w:rPr>
          <w:rFonts w:ascii="Times New Roman" w:hAnsi="Times New Roman" w:eastAsia="Times New Roman"/>
          <w:b w:val="0"/>
          <w:i w:val="0"/>
          <w:color w:val="20252B"/>
          <w:sz w:val="20"/>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pageBreakBefore w:val="0"/>
        <w:spacing w:after="80" w:line="269" w:lineRule="auto"/>
        <w:ind w:firstLine="397"/>
        <w:jc w:val="both"/>
      </w:pPr>
      <w:r>
        <w:rPr>
          <w:rFonts w:ascii="Times New Roman" w:hAnsi="Times New Roman" w:eastAsia="Times New Roman"/>
          <w:b w:val="0"/>
          <w:i w:val="0"/>
          <w:color w:val="20252B"/>
          <w:sz w:val="20"/>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pStyle w:val="Heading2"/>
        <w:keepNext/>
        <w:pageBreakBefore w:val="0"/>
        <w:spacing w:after="40"/>
        <w:jc w:val="left"/>
      </w:pPr>
      <w:r>
        <w:rPr>
          <w:rFonts w:ascii="Times New Roman" w:hAnsi="Times New Roman" w:eastAsia="Times New Roman"/>
          <w:b/>
          <w:i w:val="0"/>
          <w:color w:val="2F5D83"/>
          <w:sz w:val="25"/>
        </w:rPr>
        <w:t>10.2. Литьё в невесомости: преимущества</w:t>
      </w:r>
    </w:p>
    <w:p>
      <w:pPr>
        <w:pageBreakBefore w:val="0"/>
        <w:spacing w:after="80" w:line="269" w:lineRule="auto"/>
        <w:ind w:firstLine="397"/>
        <w:jc w:val="both"/>
      </w:pPr>
      <w:r>
        <w:rPr>
          <w:rFonts w:ascii="Times New Roman" w:hAnsi="Times New Roman" w:eastAsia="Times New Roman"/>
          <w:b w:val="0"/>
          <w:i w:val="0"/>
          <w:color w:val="20252B"/>
          <w:sz w:val="20"/>
        </w:rPr>
        <w:t>Отсутствие силы тяжести снимает четыре ограничения, определяющие предельные размеры земной отливки.</w:t>
      </w:r>
    </w:p>
    <w:p>
      <w:pPr>
        <w:pageBreakBefore w:val="0"/>
        <w:spacing w:after="80" w:line="269" w:lineRule="auto"/>
        <w:ind w:firstLine="397"/>
        <w:jc w:val="both"/>
      </w:pPr>
      <w:r>
        <w:rPr>
          <w:rFonts w:ascii="Times New Roman" w:hAnsi="Times New Roman" w:eastAsia="Times New Roman"/>
          <w:b w:val="0"/>
          <w:i w:val="0"/>
          <w:color w:val="20252B"/>
          <w:sz w:val="20"/>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pageBreakBefore w:val="0"/>
        <w:spacing w:after="80" w:line="269" w:lineRule="auto"/>
        <w:ind w:firstLine="397"/>
        <w:jc w:val="both"/>
      </w:pPr>
      <w:r>
        <w:rPr>
          <w:rFonts w:ascii="Times New Roman" w:hAnsi="Times New Roman" w:eastAsia="Times New Roman"/>
          <w:b w:val="0"/>
          <w:i w:val="0"/>
          <w:color w:val="20252B"/>
          <w:sz w:val="20"/>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pageBreakBefore w:val="0"/>
        <w:spacing w:after="80" w:line="269" w:lineRule="auto"/>
        <w:ind w:firstLine="397"/>
        <w:jc w:val="both"/>
      </w:pPr>
      <w:r>
        <w:rPr>
          <w:rFonts w:ascii="Times New Roman" w:hAnsi="Times New Roman" w:eastAsia="Times New Roman"/>
          <w:b w:val="0"/>
          <w:i w:val="0"/>
          <w:color w:val="20252B"/>
          <w:sz w:val="20"/>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pageBreakBefore w:val="0"/>
        <w:spacing w:after="80" w:line="269" w:lineRule="auto"/>
        <w:ind w:firstLine="397"/>
        <w:jc w:val="both"/>
      </w:pPr>
      <w:r>
        <w:rPr>
          <w:rFonts w:ascii="Times New Roman" w:hAnsi="Times New Roman" w:eastAsia="Times New Roman"/>
          <w:b w:val="0"/>
          <w:i w:val="0"/>
          <w:color w:val="20252B"/>
          <w:sz w:val="20"/>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pStyle w:val="Heading2"/>
        <w:keepNext/>
        <w:pageBreakBefore w:val="0"/>
        <w:spacing w:after="40"/>
        <w:jc w:val="left"/>
      </w:pPr>
      <w:r>
        <w:rPr>
          <w:rFonts w:ascii="Times New Roman" w:hAnsi="Times New Roman" w:eastAsia="Times New Roman"/>
          <w:b/>
          <w:i w:val="0"/>
          <w:color w:val="2F5D83"/>
          <w:sz w:val="25"/>
        </w:rPr>
        <w:t>10.3. Литьё в невесомости: осложняющие обстоятельства</w:t>
      </w:r>
    </w:p>
    <w:p>
      <w:pPr>
        <w:pageBreakBefore w:val="0"/>
        <w:spacing w:after="80" w:line="269" w:lineRule="auto"/>
        <w:ind w:firstLine="709"/>
        <w:jc w:val="both"/>
      </w:pPr>
      <w:r>
        <w:rPr>
          <w:rFonts w:ascii="Times New Roman" w:hAnsi="Times New Roman" w:eastAsia="Times New Roman"/>
          <w:b w:val="0"/>
          <w:i w:val="0"/>
          <w:color w:val="20252B"/>
          <w:sz w:val="20"/>
        </w:rPr>
        <w:t>Те же условия порождают два затруднения, которых на Земле не существует.</w:t>
      </w:r>
    </w:p>
    <w:p>
      <w:pPr>
        <w:pageBreakBefore w:val="0"/>
        <w:spacing w:after="80" w:line="269" w:lineRule="auto"/>
        <w:ind w:firstLine="397"/>
        <w:jc w:val="both"/>
      </w:pPr>
      <w:r>
        <w:rPr>
          <w:rFonts w:ascii="Times New Roman" w:hAnsi="Times New Roman" w:eastAsia="Times New Roman"/>
          <w:b w:val="0"/>
          <w:i w:val="0"/>
          <w:color w:val="20252B"/>
          <w:sz w:val="20"/>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pageBreakBefore w:val="0"/>
        <w:spacing w:after="80" w:line="269" w:lineRule="auto"/>
        <w:ind w:firstLine="397"/>
        <w:jc w:val="both"/>
      </w:pPr>
      <w:r>
        <w:rPr>
          <w:rFonts w:ascii="Times New Roman" w:hAnsi="Times New Roman" w:eastAsia="Times New Roman"/>
          <w:b w:val="0"/>
          <w:i w:val="0"/>
          <w:color w:val="20252B"/>
          <w:sz w:val="20"/>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pageBreakBefore w:val="0"/>
        <w:spacing w:after="80" w:line="269" w:lineRule="auto"/>
        <w:ind w:firstLine="397"/>
        <w:jc w:val="both"/>
      </w:pPr>
      <w:r>
        <w:rPr>
          <w:rFonts w:ascii="Times New Roman" w:hAnsi="Times New Roman" w:eastAsia="Times New Roman"/>
          <w:b w:val="0"/>
          <w:i w:val="0"/>
          <w:color w:val="20252B"/>
          <w:sz w:val="20"/>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pStyle w:val="Heading2"/>
        <w:keepNext/>
        <w:pageBreakBefore w:val="0"/>
        <w:spacing w:after="40"/>
        <w:jc w:val="left"/>
      </w:pPr>
      <w:r>
        <w:rPr>
          <w:rFonts w:ascii="Times New Roman" w:hAnsi="Times New Roman" w:eastAsia="Times New Roman"/>
          <w:b/>
          <w:i w:val="0"/>
          <w:color w:val="2F5D83"/>
          <w:sz w:val="25"/>
        </w:rPr>
        <w:t>10.4. Выбор размера панели</w:t>
      </w:r>
    </w:p>
    <w:p>
      <w:pPr>
        <w:pageBreakBefore w:val="0"/>
        <w:spacing w:after="80" w:line="269" w:lineRule="auto"/>
        <w:ind w:firstLine="397"/>
        <w:jc w:val="both"/>
      </w:pPr>
      <w:r>
        <w:rPr>
          <w:rFonts w:ascii="Times New Roman" w:hAnsi="Times New Roman" w:eastAsia="Times New Roman"/>
          <w:b w:val="0"/>
          <w:i w:val="0"/>
          <w:color w:val="20252B"/>
          <w:sz w:val="20"/>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pageBreakBefore w:val="0"/>
        <w:spacing w:after="80" w:line="269" w:lineRule="auto"/>
        <w:ind w:firstLine="397"/>
        <w:jc w:val="both"/>
      </w:pPr>
      <w:r>
        <w:rPr>
          <w:rFonts w:ascii="Times New Roman" w:hAnsi="Times New Roman" w:eastAsia="Times New Roman"/>
          <w:b w:val="0"/>
          <w:i w:val="0"/>
          <w:color w:val="20252B"/>
          <w:sz w:val="20"/>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pageBreakBefore w:val="0"/>
        <w:spacing w:after="80" w:line="269" w:lineRule="auto"/>
        <w:ind w:firstLine="397"/>
        <w:jc w:val="both"/>
      </w:pPr>
      <w:r>
        <w:rPr>
          <w:rFonts w:ascii="Times New Roman" w:hAnsi="Times New Roman" w:eastAsia="Times New Roman"/>
          <w:b w:val="0"/>
          <w:i w:val="0"/>
          <w:color w:val="20252B"/>
          <w:sz w:val="20"/>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pageBreakBefore w:val="0"/>
        <w:spacing w:after="80" w:line="269" w:lineRule="auto"/>
        <w:ind w:firstLine="397"/>
        <w:jc w:val="both"/>
      </w:pPr>
      <w:r>
        <w:rPr>
          <w:rFonts w:ascii="Times New Roman" w:hAnsi="Times New Roman" w:eastAsia="Times New Roman"/>
          <w:b w:val="0"/>
          <w:i w:val="0"/>
          <w:color w:val="20252B"/>
          <w:sz w:val="20"/>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pageBreakBefore w:val="0"/>
        <w:spacing w:after="40"/>
        <w:jc w:val="center"/>
      </w:pPr>
      <w:r>
        <w:rPr>
          <w:rFonts w:ascii="Times New Roman" w:hAnsi="Times New Roman"/>
        </w:rP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374059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23 — выбор размера панели: конкуренция сварных швов и массы отливки</w:t>
      </w:r>
    </w:p>
    <w:p>
      <w:pPr>
        <w:pStyle w:val="Heading2"/>
        <w:keepNext/>
        <w:pageBreakBefore w:val="0"/>
        <w:spacing w:after="40"/>
        <w:jc w:val="left"/>
      </w:pPr>
      <w:r>
        <w:rPr>
          <w:rFonts w:ascii="Times New Roman" w:hAnsi="Times New Roman" w:eastAsia="Times New Roman"/>
          <w:b/>
          <w:i w:val="0"/>
          <w:color w:val="2F5D83"/>
          <w:sz w:val="25"/>
        </w:rPr>
        <w:t>10.5. Силовой набор</w:t>
      </w:r>
    </w:p>
    <w:p>
      <w:pPr>
        <w:pageBreakBefore w:val="0"/>
        <w:spacing w:after="80" w:line="269" w:lineRule="auto"/>
        <w:ind w:firstLine="397"/>
        <w:jc w:val="both"/>
      </w:pPr>
      <w:r>
        <w:rPr>
          <w:rFonts w:ascii="Times New Roman" w:hAnsi="Times New Roman" w:eastAsia="Times New Roman"/>
          <w:b w:val="0"/>
          <w:i w:val="0"/>
          <w:color w:val="20252B"/>
          <w:sz w:val="20"/>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pageBreakBefore w:val="0"/>
        <w:spacing w:after="80" w:line="269" w:lineRule="auto"/>
        <w:ind w:firstLine="397"/>
        <w:jc w:val="both"/>
      </w:pPr>
      <w:r>
        <w:rPr>
          <w:rFonts w:ascii="Times New Roman" w:hAnsi="Times New Roman" w:eastAsia="Times New Roman"/>
          <w:b w:val="0"/>
          <w:i w:val="0"/>
          <w:color w:val="20252B"/>
          <w:sz w:val="20"/>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w:t>
      </w:r>
    </w:p>
    <w:p>
      <w:pPr>
        <w:pStyle w:val="Heading2"/>
        <w:keepNext/>
        <w:pageBreakBefore w:val="0"/>
        <w:spacing w:after="40"/>
        <w:jc w:val="left"/>
      </w:pPr>
      <w:r>
        <w:rPr>
          <w:rFonts w:ascii="Times New Roman" w:hAnsi="Times New Roman" w:eastAsia="Times New Roman"/>
          <w:b/>
          <w:i w:val="0"/>
          <w:color w:val="2F5D83"/>
          <w:sz w:val="25"/>
        </w:rPr>
        <w:t>10.6. Последовательность сборки</w:t>
      </w:r>
    </w:p>
    <w:p>
      <w:pPr>
        <w:pageBreakBefore w:val="0"/>
        <w:spacing w:after="80" w:line="269" w:lineRule="auto"/>
        <w:ind w:firstLine="397"/>
        <w:jc w:val="both"/>
      </w:pPr>
      <w:r>
        <w:rPr>
          <w:rFonts w:ascii="Times New Roman" w:hAnsi="Times New Roman" w:eastAsia="Times New Roman"/>
          <w:b w:val="0"/>
          <w:i w:val="0"/>
          <w:color w:val="20252B"/>
          <w:sz w:val="20"/>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pStyle w:val="Heading2"/>
        <w:keepNext/>
        <w:pageBreakBefore w:val="0"/>
        <w:spacing w:after="40"/>
        <w:jc w:val="left"/>
      </w:pPr>
      <w:r>
        <w:rPr>
          <w:rFonts w:ascii="Times New Roman" w:hAnsi="Times New Roman" w:eastAsia="Times New Roman"/>
          <w:b/>
          <w:i w:val="0"/>
          <w:color w:val="2F5D83"/>
          <w:sz w:val="25"/>
        </w:rPr>
        <w:t>10.7. Потребность в орбитальном производстве</w:t>
      </w:r>
    </w:p>
    <w:p>
      <w:pPr>
        <w:pageBreakBefore w:val="0"/>
        <w:spacing w:after="80" w:line="269" w:lineRule="auto"/>
        <w:ind w:firstLine="397"/>
        <w:jc w:val="both"/>
      </w:pPr>
      <w:r>
        <w:rPr>
          <w:rFonts w:ascii="Times New Roman" w:hAnsi="Times New Roman" w:eastAsia="Times New Roman"/>
          <w:b w:val="0"/>
          <w:i w:val="0"/>
          <w:color w:val="20252B"/>
          <w:sz w:val="20"/>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pageBreakBefore w:val="0"/>
        <w:spacing w:after="80" w:line="269" w:lineRule="auto"/>
        <w:ind w:firstLine="397"/>
        <w:jc w:val="both"/>
      </w:pPr>
      <w:r>
        <w:rPr>
          <w:rFonts w:ascii="Times New Roman" w:hAnsi="Times New Roman" w:eastAsia="Times New Roman"/>
          <w:b w:val="0"/>
          <w:i w:val="0"/>
          <w:color w:val="20252B"/>
          <w:sz w:val="20"/>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pStyle w:val="Heading1"/>
        <w:keepNext/>
        <w:pageBreakBefore w:val="0"/>
        <w:spacing w:after="40"/>
        <w:jc w:val="left"/>
      </w:pPr>
      <w:r>
        <w:rPr>
          <w:rFonts w:ascii="Times New Roman" w:hAnsi="Times New Roman" w:eastAsia="Times New Roman"/>
          <w:b/>
          <w:i w:val="0"/>
          <w:color w:val="1F3A5F"/>
          <w:sz w:val="30"/>
        </w:rPr>
        <w:t>ПЕРЕЧЕНЬ ИЛЛЮСТРАЦИЙ</w:t>
      </w:r>
    </w:p>
    <w:p>
      <w:pPr>
        <w:pageBreakBefore w:val="0"/>
        <w:spacing w:after="80" w:line="269" w:lineRule="auto"/>
        <w:ind w:firstLine="397"/>
        <w:jc w:val="both"/>
      </w:pPr>
      <w:r>
        <w:rPr>
          <w:rFonts w:ascii="Times New Roman" w:hAnsi="Times New Roman" w:eastAsia="Times New Roman"/>
          <w:b w:val="0"/>
          <w:i w:val="0"/>
          <w:color w:val="20252B"/>
          <w:sz w:val="20"/>
        </w:rPr>
        <w:t>Все рисунки построены программно по числовым данным таблиц настоящего документа. Источник построения — файл figures.py, входящий в состав проекта.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 — Общая компоновка станции: два встречно вращающихся цилиндра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 — Тяжесть и окружная скорость в зависимости от радиуса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3 — Климатическое зонирование по длине цилиндра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4 — Радиальный профиль давления во вращающейся атмосфере</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5 — Применимость марок стали при R = 5 000 м и 1 g</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6 — Нагрузка на оболочку и структура кольцевого напряжения</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7 — Поперечное сечение оболочки и состав конструкционного пакета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8 — Массовый баланс станции (два цилиндра)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9 — Потребная площадь теплоотвода в зависимости от температуры радиатора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10 — Окружная скорость и возможность стыковки</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11 — Работа подъёма по участкам и наклон кажущейся вертикали</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12 — Ускорение Кориолиса при разных способах перехода «ось — обод»</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13 — Падение внутри вращающегося цилиндра: траектория и скорость соударения</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14 — Наклонная шахта: переход «ось — обод» без карданного подвеса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15 — Ресурсная обеспеченность строительства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16 — Энергетический баланс и распределение светового потока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17 — Продовольственный баланс и структура посевных площадей</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18 — Структура использования площадей</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19 — Эпидемия в замкнутой популяции и действие секционирования</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20 — Собственные частоты станции относительно полосы слышимого звука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21 — Программа добычи летучих: потребные объёмы сырья по источникам</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22 — Карантинный контур: четыре потока и три ступени обработки</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23 — Выбор размера панели: конкуренция сварных швов и массы отливки</w:t>
      </w:r>
    </w:p>
    <w:p>
      <w:pPr>
        <w:pStyle w:val="Heading1"/>
        <w:keepNext/>
        <w:pageBreakBefore w:val="0"/>
        <w:spacing w:after="40"/>
        <w:jc w:val="left"/>
      </w:pPr>
      <w:r>
        <w:rPr>
          <w:rFonts w:ascii="Times New Roman" w:hAnsi="Times New Roman" w:eastAsia="Times New Roman"/>
          <w:b/>
          <w:i w:val="0"/>
          <w:color w:val="1F3A5F"/>
          <w:sz w:val="30"/>
        </w:rPr>
        <w:t>ЛИЦЕНЗИЯ И АВТОРСКИЕ ПРАВА</w:t>
      </w:r>
    </w:p>
    <w:p>
      <w:pPr>
        <w:pageBreakBefore w:val="0"/>
        <w:spacing w:after="80" w:line="269" w:lineRule="auto"/>
        <w:ind w:firstLine="397"/>
        <w:jc w:val="both"/>
      </w:pPr>
      <w:r>
        <w:rPr>
          <w:rFonts w:ascii="Times New Roman" w:hAnsi="Times New Roman" w:eastAsia="Times New Roman"/>
          <w:b w:val="0"/>
          <w:i w:val="0"/>
          <w:color w:val="20252B"/>
          <w:sz w:val="2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pageBreakBefore w:val="0"/>
        <w:spacing w:after="80" w:line="269" w:lineRule="auto"/>
        <w:ind w:firstLine="709"/>
        <w:jc w:val="both"/>
      </w:pPr>
      <w:r>
        <w:rPr>
          <w:rFonts w:ascii="Times New Roman" w:hAnsi="Times New Roman" w:eastAsia="Times New Roman"/>
          <w:b w:val="0"/>
          <w:i w:val="0"/>
          <w:color w:val="20252B"/>
          <w:sz w:val="20"/>
        </w:rPr>
        <w:t>Авторы</w:t>
      </w:r>
    </w:p>
    <w:p>
      <w:pPr>
        <w:pageBreakBefore w:val="0"/>
        <w:spacing w:after="80" w:line="269" w:lineRule="auto"/>
        <w:ind w:firstLine="397"/>
        <w:jc w:val="both"/>
      </w:pPr>
      <w:r>
        <w:rPr>
          <w:rFonts w:ascii="Times New Roman" w:hAnsi="Times New Roman" w:eastAsia="Times New Roman"/>
          <w:b w:val="0"/>
          <w:i w:val="0"/>
          <w:color w:val="20252B"/>
          <w:sz w:val="20"/>
        </w:rPr>
        <w:t>Бугаенко Роман Сергеевич — автор проекта и руководитель разработки. Концепция, архитектура станции, климатическое зонирование, состав биоценозов, инженерные решения, продовольственный и водный балансы.</w:t>
      </w:r>
    </w:p>
    <w:p>
      <w:pPr>
        <w:pageBreakBefore w:val="0"/>
        <w:spacing w:after="80" w:line="269" w:lineRule="auto"/>
        <w:ind w:firstLine="397"/>
        <w:jc w:val="both"/>
      </w:pPr>
      <w:r>
        <w:rPr>
          <w:rFonts w:ascii="Times New Roman" w:hAnsi="Times New Roman" w:eastAsia="Times New Roman"/>
          <w:b w:val="0"/>
          <w:i w:val="0"/>
          <w:color w:val="20252B"/>
          <w:sz w:val="2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переработка количественной части документа, приложение Б, подготовка документации.</w:t>
      </w:r>
    </w:p>
    <w:p>
      <w:pPr>
        <w:pageBreakBefore w:val="0"/>
        <w:spacing w:after="80" w:line="269" w:lineRule="auto"/>
        <w:ind w:firstLine="397"/>
        <w:jc w:val="both"/>
      </w:pPr>
      <w:r>
        <w:rPr>
          <w:rFonts w:ascii="Times New Roman" w:hAnsi="Times New Roman" w:eastAsia="Times New Roman"/>
          <w:b w:val="0"/>
          <w:i w:val="0"/>
          <w:color w:val="20252B"/>
          <w:sz w:val="20"/>
        </w:rPr>
        <w:t>Проект выполняется автором; для отдельных направлений могут привлекаться специалисты и подрядчики по мере необходимости.</w:t>
      </w:r>
    </w:p>
    <w:p>
      <w:pPr>
        <w:pageBreakBefore w:val="0"/>
        <w:spacing w:after="80" w:line="269" w:lineRule="auto"/>
        <w:jc w:val="center"/>
      </w:pPr>
      <w:r>
        <w:rPr>
          <w:rFonts w:ascii="Times New Roman" w:hAnsi="Times New Roman" w:eastAsia="Times New Roman"/>
          <w:b w:val="0"/>
          <w:i w:val="0"/>
          <w:color w:val="20252B"/>
          <w:sz w:val="20"/>
        </w:rPr>
        <w:t>Курск, 2026</w:t>
      </w:r>
    </w:p>
    <w:p>
      <w:pPr>
        <w:pStyle w:val="Heading1"/>
        <w:keepNext/>
        <w:pageBreakBefore w:val="0"/>
        <w:spacing w:after="40"/>
        <w:jc w:val="left"/>
      </w:pPr>
      <w:r>
        <w:rPr>
          <w:rFonts w:ascii="Times New Roman" w:hAnsi="Times New Roman" w:eastAsia="Times New Roman"/>
          <w:b/>
          <w:i w:val="0"/>
          <w:color w:val="1F3A5F"/>
          <w:sz w:val="30"/>
        </w:rPr>
        <w:t>ПРИЛОЖЕНИЕ Б. ОБОСНОВАНИЕ РАСЧЁТОВ</w:t>
      </w:r>
    </w:p>
    <w:p>
      <w:pPr>
        <w:pageBreakBefore w:val="0"/>
        <w:spacing w:after="80" w:line="269" w:lineRule="auto"/>
        <w:ind w:firstLine="397"/>
        <w:jc w:val="both"/>
      </w:pPr>
      <w:r>
        <w:rPr>
          <w:rFonts w:ascii="Times New Roman" w:hAnsi="Times New Roman" w:eastAsia="Times New Roman"/>
          <w:b w:val="0"/>
          <w:i w:val="0"/>
          <w:color w:val="20252B"/>
          <w:sz w:val="20"/>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pageBreakBefore w:val="0"/>
        <w:spacing w:after="80" w:line="269" w:lineRule="auto"/>
        <w:ind w:firstLine="709"/>
        <w:jc w:val="both"/>
      </w:pPr>
      <w:r>
        <w:rPr>
          <w:rFonts w:ascii="Times New Roman" w:hAnsi="Times New Roman" w:eastAsia="Times New Roman"/>
          <w:b w:val="0"/>
          <w:i w:val="0"/>
          <w:color w:val="20252B"/>
          <w:sz w:val="20"/>
        </w:rPr>
        <w:t>Б.1. Кинематика вращения</w:t>
      </w:r>
    </w:p>
    <w:p>
      <w:pPr>
        <w:pageBreakBefore w:val="0"/>
        <w:spacing w:after="80" w:line="269" w:lineRule="auto"/>
        <w:ind w:firstLine="397"/>
        <w:jc w:val="both"/>
      </w:pPr>
      <w:r>
        <w:rPr>
          <w:rFonts w:ascii="Times New Roman" w:hAnsi="Times New Roman" w:eastAsia="Times New Roman"/>
          <w:b w:val="0"/>
          <w:i w:val="0"/>
          <w:color w:val="20252B"/>
          <w:sz w:val="20"/>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pageBreakBefore w:val="0"/>
        <w:spacing w:after="80" w:line="269" w:lineRule="auto"/>
        <w:ind w:firstLine="397"/>
        <w:jc w:val="both"/>
      </w:pPr>
      <w:r>
        <w:rPr>
          <w:rFonts w:ascii="Times New Roman" w:hAnsi="Times New Roman" w:eastAsia="Times New Roman"/>
          <w:b w:val="0"/>
          <w:i w:val="0"/>
          <w:color w:val="20252B"/>
          <w:sz w:val="20"/>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pageBreakBefore w:val="0"/>
        <w:spacing w:after="80" w:line="269" w:lineRule="auto"/>
        <w:ind w:firstLine="709"/>
        <w:jc w:val="both"/>
      </w:pPr>
      <w:r>
        <w:rPr>
          <w:rFonts w:ascii="Times New Roman" w:hAnsi="Times New Roman" w:eastAsia="Times New Roman"/>
          <w:b w:val="0"/>
          <w:i w:val="0"/>
          <w:color w:val="20252B"/>
          <w:sz w:val="20"/>
        </w:rPr>
        <w:t>Б.2. Геометрия и объёмы</w:t>
      </w:r>
    </w:p>
    <w:p>
      <w:pPr>
        <w:pageBreakBefore w:val="0"/>
        <w:spacing w:after="80" w:line="269" w:lineRule="auto"/>
        <w:ind w:firstLine="397"/>
        <w:jc w:val="both"/>
      </w:pPr>
      <w:r>
        <w:rPr>
          <w:rFonts w:ascii="Times New Roman" w:hAnsi="Times New Roman" w:eastAsia="Times New Roman"/>
          <w:b w:val="0"/>
          <w:i w:val="0"/>
          <w:color w:val="20252B"/>
          <w:sz w:val="20"/>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pageBreakBefore w:val="0"/>
        <w:spacing w:after="80" w:line="269" w:lineRule="auto"/>
        <w:ind w:firstLine="397"/>
        <w:jc w:val="both"/>
      </w:pPr>
      <w:r>
        <w:rPr>
          <w:rFonts w:ascii="Times New Roman" w:hAnsi="Times New Roman" w:eastAsia="Times New Roman"/>
          <w:b w:val="0"/>
          <w:i w:val="0"/>
          <w:color w:val="20252B"/>
          <w:sz w:val="20"/>
        </w:rPr>
        <w:t>Торцевые части моделируются как сплюснутые полусфероиды: площадь двух торцов 293,4 км², объём 471,2 км³. Эти значения используются во всех геометрических и массовых расчётах.</w:t>
      </w:r>
    </w:p>
    <w:p>
      <w:pPr>
        <w:pageBreakBefore w:val="0"/>
        <w:spacing w:after="80" w:line="269" w:lineRule="auto"/>
        <w:ind w:firstLine="709"/>
        <w:jc w:val="both"/>
      </w:pPr>
      <w:r>
        <w:rPr>
          <w:rFonts w:ascii="Times New Roman" w:hAnsi="Times New Roman" w:eastAsia="Times New Roman"/>
          <w:b w:val="0"/>
          <w:i w:val="0"/>
          <w:color w:val="20252B"/>
          <w:sz w:val="20"/>
        </w:rPr>
        <w:t>Б.3. Прочность оболочки</w:t>
      </w:r>
    </w:p>
    <w:p>
      <w:pPr>
        <w:pageBreakBefore w:val="0"/>
        <w:spacing w:after="80" w:line="269" w:lineRule="auto"/>
        <w:ind w:firstLine="397"/>
        <w:jc w:val="both"/>
      </w:pPr>
      <w:r>
        <w:rPr>
          <w:rFonts w:ascii="Times New Roman" w:hAnsi="Times New Roman" w:eastAsia="Times New Roman"/>
          <w:b w:val="0"/>
          <w:i w:val="0"/>
          <w:color w:val="20252B"/>
          <w:sz w:val="20"/>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pageBreakBefore w:val="0"/>
        <w:spacing w:after="80" w:line="269" w:lineRule="auto"/>
        <w:ind w:firstLine="397"/>
        <w:jc w:val="both"/>
      </w:pPr>
      <w:r>
        <w:rPr>
          <w:rFonts w:ascii="Times New Roman" w:hAnsi="Times New Roman" w:eastAsia="Times New Roman"/>
          <w:b w:val="0"/>
          <w:i w:val="0"/>
          <w:color w:val="20252B"/>
          <w:sz w:val="20"/>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pageBreakBefore w:val="0"/>
        <w:spacing w:after="80" w:line="269" w:lineRule="auto"/>
        <w:ind w:firstLine="397"/>
        <w:jc w:val="both"/>
      </w:pPr>
      <w:r>
        <w:rPr>
          <w:rFonts w:ascii="Times New Roman" w:hAnsi="Times New Roman" w:eastAsia="Times New Roman"/>
          <w:b w:val="0"/>
          <w:i w:val="0"/>
          <w:color w:val="20252B"/>
          <w:sz w:val="20"/>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pageBreakBefore w:val="0"/>
        <w:spacing w:after="80" w:line="269" w:lineRule="auto"/>
        <w:ind w:firstLine="709"/>
        <w:jc w:val="both"/>
      </w:pPr>
      <w:r>
        <w:rPr>
          <w:rFonts w:ascii="Times New Roman" w:hAnsi="Times New Roman" w:eastAsia="Times New Roman"/>
          <w:b w:val="0"/>
          <w:i w:val="0"/>
          <w:color w:val="20252B"/>
          <w:sz w:val="20"/>
        </w:rPr>
        <w:t>Б.4. Массы</w:t>
      </w:r>
    </w:p>
    <w:p>
      <w:pPr>
        <w:pageBreakBefore w:val="0"/>
        <w:spacing w:after="80" w:line="269" w:lineRule="auto"/>
        <w:ind w:firstLine="397"/>
        <w:jc w:val="both"/>
      </w:pPr>
      <w:r>
        <w:rPr>
          <w:rFonts w:ascii="Times New Roman" w:hAnsi="Times New Roman" w:eastAsia="Times New Roman"/>
          <w:b w:val="0"/>
          <w:i w:val="0"/>
          <w:color w:val="20252B"/>
          <w:sz w:val="20"/>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pageBreakBefore w:val="0"/>
        <w:spacing w:after="80" w:line="269" w:lineRule="auto"/>
        <w:ind w:firstLine="397"/>
        <w:jc w:val="both"/>
      </w:pPr>
      <w:r>
        <w:rPr>
          <w:rFonts w:ascii="Times New Roman" w:hAnsi="Times New Roman" w:eastAsia="Times New Roman"/>
          <w:b w:val="0"/>
          <w:i w:val="0"/>
          <w:color w:val="20252B"/>
          <w:sz w:val="20"/>
        </w:rPr>
        <w:t>Масса атмосферы вычислена интегрированием по вращающемуся объёму. Барометрический закон даёт 3,77 млрд т на цилиндр и 7,55 млрд т на станцию; отношение плотностей «ось/стенка» равно 0,747, давление на оси — 74,7 кПа.</w:t>
      </w:r>
    </w:p>
    <w:p>
      <w:pPr>
        <w:pageBreakBefore w:val="0"/>
        <w:spacing w:after="80" w:line="269" w:lineRule="auto"/>
        <w:ind w:firstLine="709"/>
        <w:jc w:val="both"/>
      </w:pPr>
      <w:r>
        <w:rPr>
          <w:rFonts w:ascii="Times New Roman" w:hAnsi="Times New Roman" w:eastAsia="Times New Roman"/>
          <w:b w:val="0"/>
          <w:i w:val="0"/>
          <w:color w:val="20252B"/>
          <w:sz w:val="20"/>
        </w:rPr>
        <w:t>Б.5. Энергетика и теплоотвод</w:t>
      </w:r>
    </w:p>
    <w:p>
      <w:pPr>
        <w:pageBreakBefore w:val="0"/>
        <w:spacing w:after="80" w:line="269" w:lineRule="auto"/>
        <w:ind w:firstLine="397"/>
        <w:jc w:val="both"/>
      </w:pPr>
      <w:r>
        <w:rPr>
          <w:rFonts w:ascii="Times New Roman" w:hAnsi="Times New Roman" w:eastAsia="Times New Roman"/>
          <w:b w:val="0"/>
          <w:i w:val="0"/>
          <w:color w:val="20252B"/>
          <w:sz w:val="20"/>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pageBreakBefore w:val="0"/>
        <w:spacing w:after="80" w:line="269" w:lineRule="auto"/>
        <w:ind w:firstLine="397"/>
        <w:jc w:val="both"/>
      </w:pPr>
      <w:r>
        <w:rPr>
          <w:rFonts w:ascii="Times New Roman" w:hAnsi="Times New Roman" w:eastAsia="Times New Roman"/>
          <w:b w:val="0"/>
          <w:i w:val="0"/>
          <w:color w:val="20252B"/>
          <w:sz w:val="20"/>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pageBreakBefore w:val="0"/>
        <w:spacing w:after="80" w:line="269" w:lineRule="auto"/>
        <w:ind w:firstLine="709"/>
        <w:jc w:val="both"/>
      </w:pPr>
      <w:r>
        <w:rPr>
          <w:rFonts w:ascii="Times New Roman" w:hAnsi="Times New Roman" w:eastAsia="Times New Roman"/>
          <w:b w:val="0"/>
          <w:i w:val="0"/>
          <w:color w:val="20252B"/>
          <w:sz w:val="20"/>
        </w:rPr>
        <w:t>Б.6. Биосфера</w:t>
      </w:r>
    </w:p>
    <w:p>
      <w:pPr>
        <w:pageBreakBefore w:val="0"/>
        <w:spacing w:after="80" w:line="269" w:lineRule="auto"/>
        <w:ind w:firstLine="397"/>
        <w:jc w:val="both"/>
      </w:pPr>
      <w:r>
        <w:rPr>
          <w:rFonts w:ascii="Times New Roman" w:hAnsi="Times New Roman" w:eastAsia="Times New Roman"/>
          <w:b w:val="0"/>
          <w:i w:val="0"/>
          <w:color w:val="20252B"/>
          <w:sz w:val="20"/>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pageBreakBefore w:val="0"/>
        <w:spacing w:after="80" w:line="269" w:lineRule="auto"/>
        <w:ind w:firstLine="397"/>
        <w:jc w:val="both"/>
      </w:pPr>
      <w:r>
        <w:rPr>
          <w:rFonts w:ascii="Times New Roman" w:hAnsi="Times New Roman" w:eastAsia="Times New Roman"/>
          <w:b w:val="0"/>
          <w:i w:val="0"/>
          <w:color w:val="20252B"/>
          <w:sz w:val="20"/>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pageBreakBefore w:val="0"/>
        <w:spacing w:after="80" w:line="269" w:lineRule="auto"/>
        <w:ind w:firstLine="709"/>
        <w:jc w:val="both"/>
      </w:pPr>
      <w:r>
        <w:rPr>
          <w:rFonts w:ascii="Times New Roman" w:hAnsi="Times New Roman" w:eastAsia="Times New Roman"/>
          <w:b w:val="0"/>
          <w:i w:val="0"/>
          <w:color w:val="20252B"/>
          <w:sz w:val="20"/>
        </w:rPr>
        <w:t>Б.7. Транспорт и заселение</w:t>
      </w:r>
    </w:p>
    <w:p>
      <w:pPr>
        <w:pageBreakBefore w:val="0"/>
        <w:spacing w:after="80" w:line="269" w:lineRule="auto"/>
        <w:ind w:firstLine="397"/>
        <w:jc w:val="both"/>
      </w:pPr>
      <w:r>
        <w:rPr>
          <w:rFonts w:ascii="Times New Roman" w:hAnsi="Times New Roman" w:eastAsia="Times New Roman"/>
          <w:b w:val="0"/>
          <w:i w:val="0"/>
          <w:color w:val="20252B"/>
          <w:sz w:val="20"/>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pageBreakBefore w:val="0"/>
        <w:spacing w:after="80" w:line="269" w:lineRule="auto"/>
        <w:ind w:firstLine="397"/>
        <w:jc w:val="both"/>
      </w:pPr>
      <w:r>
        <w:rPr>
          <w:rFonts w:ascii="Times New Roman" w:hAnsi="Times New Roman" w:eastAsia="Times New Roman"/>
          <w:b w:val="0"/>
          <w:i w:val="0"/>
          <w:color w:val="20252B"/>
          <w:sz w:val="20"/>
        </w:rPr>
        <w:t>Пропускная способность составляет 1 350 человек в час на цилиндр и 2 700 человек в час на станцию. При полной работе четырёх коридоров транспорт пропускает 500 000 человек примерно за 7,7 суток, но плановый срок заселения полного населения станции определяется карантинным потоком 100 000 человек в год и составляет десять лет.</w:t>
      </w:r>
    </w:p>
    <w:p>
      <w:pPr>
        <w:pageBreakBefore w:val="0"/>
        <w:spacing w:after="80" w:line="269" w:lineRule="auto"/>
        <w:ind w:firstLine="709"/>
        <w:jc w:val="both"/>
      </w:pPr>
      <w:r>
        <w:rPr>
          <w:rFonts w:ascii="Times New Roman" w:hAnsi="Times New Roman" w:eastAsia="Times New Roman"/>
          <w:b w:val="0"/>
          <w:i w:val="0"/>
          <w:color w:val="20252B"/>
          <w:sz w:val="20"/>
        </w:rPr>
        <w:t>Б.8. Изготовление оболочки</w:t>
      </w:r>
    </w:p>
    <w:p>
      <w:pPr>
        <w:pageBreakBefore w:val="0"/>
        <w:spacing w:after="80" w:line="269" w:lineRule="auto"/>
        <w:ind w:firstLine="397"/>
        <w:jc w:val="both"/>
      </w:pPr>
      <w:r>
        <w:rPr>
          <w:rFonts w:ascii="Times New Roman" w:hAnsi="Times New Roman" w:eastAsia="Times New Roman"/>
          <w:b w:val="0"/>
          <w:i w:val="0"/>
          <w:color w:val="20252B"/>
          <w:sz w:val="20"/>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pageBreakBefore w:val="0"/>
        <w:spacing w:after="80" w:line="269" w:lineRule="auto"/>
        <w:ind w:firstLine="397"/>
        <w:jc w:val="both"/>
      </w:pPr>
      <w:r>
        <w:rPr>
          <w:rFonts w:ascii="Times New Roman" w:hAnsi="Times New Roman" w:eastAsia="Times New Roman"/>
          <w:b w:val="0"/>
          <w:i w:val="0"/>
          <w:color w:val="20252B"/>
          <w:sz w:val="20"/>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pageBreakBefore w:val="0"/>
        <w:spacing w:after="80" w:line="269" w:lineRule="auto"/>
        <w:ind w:firstLine="397"/>
        <w:jc w:val="both"/>
      </w:pPr>
      <w:r>
        <w:rPr>
          <w:rFonts w:ascii="Times New Roman" w:hAnsi="Times New Roman" w:eastAsia="Times New Roman"/>
          <w:b w:val="0"/>
          <w:i w:val="0"/>
          <w:color w:val="20252B"/>
          <w:sz w:val="20"/>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pageBreakBefore w:val="0"/>
        <w:spacing w:after="80" w:line="269" w:lineRule="auto"/>
        <w:ind w:firstLine="709"/>
        <w:jc w:val="both"/>
      </w:pPr>
      <w:r>
        <w:rPr>
          <w:rFonts w:ascii="Times New Roman" w:hAnsi="Times New Roman" w:eastAsia="Times New Roman"/>
          <w:b w:val="0"/>
          <w:i w:val="0"/>
          <w:color w:val="20252B"/>
          <w:sz w:val="20"/>
        </w:rPr>
        <w:t>Б.9. Сводка достоверности</w:t>
      </w:r>
    </w:p>
    <w:p>
      <w:pPr>
        <w:pageBreakBefore w:val="0"/>
        <w:spacing w:after="80" w:line="269" w:lineRule="auto"/>
        <w:ind w:firstLine="397"/>
        <w:jc w:val="both"/>
      </w:pPr>
      <w:r>
        <w:rPr>
          <w:rFonts w:ascii="Times New Roman" w:hAnsi="Times New Roman" w:eastAsia="Times New Roman"/>
          <w:b w:val="0"/>
          <w:i w:val="0"/>
          <w:color w:val="20252B"/>
          <w:sz w:val="20"/>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pageBreakBefore w:val="0"/>
        <w:spacing w:after="80" w:line="269" w:lineRule="auto"/>
        <w:ind w:firstLine="397"/>
        <w:jc w:val="both"/>
      </w:pPr>
      <w:r>
        <w:rPr>
          <w:rFonts w:ascii="Times New Roman" w:hAnsi="Times New Roman" w:eastAsia="Times New Roman"/>
          <w:b w:val="0"/>
          <w:i w:val="0"/>
          <w:color w:val="20252B"/>
          <w:sz w:val="20"/>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pageBreakBefore w:val="0"/>
        <w:spacing w:after="80" w:line="269" w:lineRule="auto"/>
        <w:ind w:firstLine="397"/>
        <w:jc w:val="both"/>
      </w:pPr>
      <w:r>
        <w:rPr>
          <w:rFonts w:ascii="Times New Roman" w:hAnsi="Times New Roman" w:eastAsia="Times New Roman"/>
          <w:b w:val="0"/>
          <w:i w:val="0"/>
          <w:color w:val="20252B"/>
          <w:sz w:val="20"/>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pageBreakBefore w:val="0"/>
        <w:spacing w:after="80" w:line="269" w:lineRule="auto"/>
        <w:ind w:firstLine="709"/>
        <w:jc w:val="both"/>
      </w:pPr>
      <w:r>
        <w:rPr>
          <w:rFonts w:ascii="Times New Roman" w:hAnsi="Times New Roman" w:eastAsia="Times New Roman"/>
          <w:b w:val="0"/>
          <w:i w:val="0"/>
          <w:color w:val="20252B"/>
          <w:sz w:val="20"/>
        </w:rPr>
        <w:t>Б.10. Расчётная численность населения</w:t>
      </w:r>
    </w:p>
    <w:p>
      <w:pPr>
        <w:pageBreakBefore w:val="0"/>
        <w:spacing w:after="80" w:line="269" w:lineRule="auto"/>
        <w:ind w:firstLine="397"/>
        <w:jc w:val="both"/>
      </w:pPr>
      <w:r>
        <w:rPr>
          <w:rFonts w:ascii="Times New Roman" w:hAnsi="Times New Roman" w:eastAsia="Times New Roman"/>
          <w:b w:val="0"/>
          <w:i w:val="0"/>
          <w:color w:val="20252B"/>
          <w:sz w:val="20"/>
        </w:rPr>
        <w:t>Расчётная численность станции принята равной 1 000 000 человек, по 500 000 на цилиндр. Пропорциональные нормы газообмена, воды и бытовой энергии заданы для миллиона жителей; площади, массы оболочки и общестанционные потребители от численности не зависят.</w:t>
      </w:r>
    </w:p>
    <w:p>
      <w:pPr>
        <w:pageBreakBefore w:val="0"/>
        <w:spacing w:after="80" w:line="269" w:lineRule="auto"/>
        <w:ind w:firstLine="709"/>
        <w:jc w:val="both"/>
      </w:pPr>
      <w:r>
        <w:rPr>
          <w:rFonts w:ascii="Times New Roman" w:hAnsi="Times New Roman" w:eastAsia="Times New Roman"/>
          <w:b w:val="0"/>
          <w:i w:val="0"/>
          <w:color w:val="20252B"/>
          <w:sz w:val="20"/>
        </w:rPr>
        <w:t>Б.11. Глубина водоёмов и толщина грунта</w:t>
      </w:r>
    </w:p>
    <w:p>
      <w:pPr>
        <w:pageBreakBefore w:val="0"/>
        <w:spacing w:after="80" w:line="269" w:lineRule="auto"/>
        <w:ind w:firstLine="397"/>
        <w:jc w:val="both"/>
      </w:pPr>
      <w:r>
        <w:rPr>
          <w:rFonts w:ascii="Times New Roman" w:hAnsi="Times New Roman" w:eastAsia="Times New Roman"/>
          <w:b w:val="0"/>
          <w:i w:val="0"/>
          <w:color w:val="20252B"/>
          <w:sz w:val="20"/>
        </w:rPr>
        <w:t>Средняя глубина открытых водоёмов принята 1,2 м при среднем слое грунта 1,5 м. Такое размещение не нарушает силовой пояс и соответствует водному балансу станции.</w:t>
      </w:r>
    </w:p>
    <w:p>
      <w:pPr>
        <w:pageBreakBefore w:val="0"/>
        <w:spacing w:after="80" w:line="269" w:lineRule="auto"/>
        <w:ind w:firstLine="397"/>
        <w:jc w:val="both"/>
      </w:pPr>
      <w:r>
        <w:rPr>
          <w:rFonts w:ascii="Times New Roman" w:hAnsi="Times New Roman" w:eastAsia="Times New Roman"/>
          <w:b w:val="0"/>
          <w:i w:val="0"/>
          <w:color w:val="20252B"/>
          <w:sz w:val="20"/>
        </w:rPr>
        <w:t>Геометрия. Открытые водоёмы глубиной 1,2 м размещаются в почвенном слое; заглубление в силовой пояс не допускается. Рыбные бассейны глубиной до 3 м выполняются насыпным способом.</w:t>
      </w:r>
    </w:p>
    <w:p>
      <w:pPr>
        <w:pageBreakBefore w:val="0"/>
        <w:spacing w:after="80" w:line="269" w:lineRule="auto"/>
        <w:ind w:firstLine="397"/>
        <w:jc w:val="both"/>
      </w:pPr>
      <w:r>
        <w:rPr>
          <w:rFonts w:ascii="Times New Roman" w:hAnsi="Times New Roman" w:eastAsia="Times New Roman"/>
          <w:b w:val="0"/>
          <w:i w:val="0"/>
          <w:color w:val="20252B"/>
          <w:sz w:val="20"/>
        </w:rPr>
        <w:t>Масса. Водный баланс рассчитывается по открытым водоёмам, рыбным бассейнам, почвенной влаге, атмосферной влаге, оборотным контурам и воде биомассы. Таблица водного баланса даёт 0,586 млрд т на цилиндр и 1,171 млрд т на станцию.</w:t>
      </w:r>
    </w:p>
    <w:p>
      <w:pPr>
        <w:pageBreakBefore w:val="0"/>
        <w:spacing w:after="80" w:line="269" w:lineRule="auto"/>
        <w:ind w:firstLine="397"/>
        <w:jc w:val="both"/>
      </w:pPr>
      <w:r>
        <w:rPr>
          <w:rFonts w:ascii="Times New Roman" w:hAnsi="Times New Roman" w:eastAsia="Times New Roman"/>
          <w:b w:val="0"/>
          <w:i w:val="0"/>
          <w:color w:val="20252B"/>
          <w:sz w:val="20"/>
        </w:rPr>
        <w:t>Принятое решение. Средняя глубина открытых водоёмов — 1,2 м; рыбные бассейны выполняются насыпью. Конструкция сохраняет герметичность и обеспечивает требуемые водные биоценозы.</w:t>
      </w:r>
    </w:p>
    <w:p>
      <w:pPr>
        <w:pageBreakBefore w:val="0"/>
        <w:spacing w:after="80" w:line="269" w:lineRule="auto"/>
        <w:ind w:firstLine="397"/>
        <w:jc w:val="both"/>
      </w:pPr>
      <w:r>
        <w:rPr>
          <w:rFonts w:ascii="Times New Roman" w:hAnsi="Times New Roman" w:eastAsia="Times New Roman"/>
          <w:b w:val="0"/>
          <w:i w:val="0"/>
          <w:color w:val="20252B"/>
          <w:sz w:val="20"/>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pageBreakBefore w:val="0"/>
        <w:spacing w:after="80" w:line="269" w:lineRule="auto"/>
        <w:ind w:firstLine="397"/>
        <w:jc w:val="both"/>
      </w:pPr>
      <w:r>
        <w:rPr>
          <w:rFonts w:ascii="Times New Roman" w:hAnsi="Times New Roman" w:eastAsia="Times New Roman"/>
          <w:b w:val="0"/>
          <w:i w:val="0"/>
          <w:color w:val="20252B"/>
          <w:sz w:val="20"/>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pageBreakBefore w:val="0"/>
        <w:spacing w:after="80" w:line="269" w:lineRule="auto"/>
        <w:ind w:firstLine="709"/>
        <w:jc w:val="both"/>
      </w:pPr>
      <w:r>
        <w:rPr>
          <w:rFonts w:ascii="Times New Roman" w:hAnsi="Times New Roman" w:eastAsia="Times New Roman"/>
          <w:b w:val="0"/>
          <w:i w:val="0"/>
          <w:color w:val="20252B"/>
          <w:sz w:val="20"/>
        </w:rPr>
        <w:t>Б.12. Назначение арктической зоны и размещение теплиц</w:t>
      </w:r>
    </w:p>
    <w:p>
      <w:pPr>
        <w:pageBreakBefore w:val="0"/>
        <w:spacing w:after="80" w:line="269" w:lineRule="auto"/>
        <w:ind w:firstLine="397"/>
        <w:jc w:val="both"/>
      </w:pPr>
      <w:r>
        <w:rPr>
          <w:rFonts w:ascii="Times New Roman" w:hAnsi="Times New Roman" w:eastAsia="Times New Roman"/>
          <w:b w:val="0"/>
          <w:i w:val="0"/>
          <w:color w:val="20252B"/>
          <w:sz w:val="20"/>
        </w:rPr>
        <w:t>Теплолюбивые культуры, овощи, зелень и лекарственные травы размещаются в тропической и субтропической зонах, где осевые светотепловые балки дают достаточный световой поток, а климатическая система поддерживает требуемое тепло. В холодной зоне остаются морозостойкие культуры; отапливаемые теплицы и гидропонные установки там не предусматриваются.</w:t>
      </w:r>
    </w:p>
    <w:p>
      <w:pPr>
        <w:pageBreakBefore w:val="0"/>
        <w:spacing w:after="80" w:line="269" w:lineRule="auto"/>
        <w:ind w:firstLine="397"/>
        <w:jc w:val="both"/>
      </w:pPr>
      <w:r>
        <w:rPr>
          <w:rFonts w:ascii="Times New Roman" w:hAnsi="Times New Roman" w:eastAsia="Times New Roman"/>
          <w:b w:val="0"/>
          <w:i w:val="0"/>
          <w:color w:val="20252B"/>
          <w:sz w:val="20"/>
        </w:rPr>
        <w:t>Размещение теплолюбивых культур в холодной зоне потребовало бы дополнительного освещения и отопления. Свободный резерв тёплых зон составляет 536 км², поэтому теплицы переносятся в тёплые зоны без дефицита площади.</w:t>
      </w:r>
    </w:p>
    <w:p>
      <w:pPr>
        <w:pageBreakBefore w:val="0"/>
        <w:spacing w:after="80" w:line="269" w:lineRule="auto"/>
        <w:ind w:firstLine="397"/>
        <w:jc w:val="both"/>
      </w:pPr>
      <w:r>
        <w:rPr>
          <w:rFonts w:ascii="Times New Roman" w:hAnsi="Times New Roman" w:eastAsia="Times New Roman"/>
          <w:b w:val="0"/>
          <w:i w:val="0"/>
          <w:color w:val="20252B"/>
          <w:sz w:val="20"/>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pageBreakBefore w:val="0"/>
        <w:spacing w:after="80" w:line="269" w:lineRule="auto"/>
        <w:ind w:firstLine="397"/>
        <w:jc w:val="both"/>
      </w:pPr>
      <w:r>
        <w:rPr>
          <w:rFonts w:ascii="Times New Roman" w:hAnsi="Times New Roman" w:eastAsia="Times New Roman"/>
          <w:b w:val="0"/>
          <w:i w:val="0"/>
          <w:color w:val="20252B"/>
          <w:sz w:val="20"/>
        </w:rPr>
        <w:t>Теплолюбивые овощи, зелень и грибы размещаются в тропической и субтропической зонах. Открытый грунт холодной зоны отводится под морозостойкие многолетние культуры; сохраняются функции холодного хранения, приёма избыточного тепла и низкотемпературных производств.</w:t>
      </w:r>
    </w:p>
    <w:p>
      <w:pPr>
        <w:pageBreakBefore w:val="0"/>
        <w:spacing w:after="80" w:line="269" w:lineRule="auto"/>
        <w:ind w:firstLine="397"/>
        <w:jc w:val="both"/>
      </w:pPr>
      <w:r>
        <w:rPr>
          <w:rFonts w:ascii="Times New Roman" w:hAnsi="Times New Roman" w:eastAsia="Times New Roman"/>
          <w:b w:val="0"/>
          <w:i w:val="0"/>
          <w:color w:val="20252B"/>
          <w:sz w:val="20"/>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pageBreakBefore w:val="0"/>
        <w:spacing w:after="80" w:line="269" w:lineRule="auto"/>
        <w:ind w:firstLine="397"/>
        <w:jc w:val="both"/>
      </w:pPr>
      <w:r>
        <w:rPr>
          <w:rFonts w:ascii="Times New Roman" w:hAnsi="Times New Roman" w:eastAsia="Times New Roman"/>
          <w:b w:val="0"/>
          <w:i w:val="0"/>
          <w:color w:val="20252B"/>
          <w:sz w:val="20"/>
        </w:rPr>
        <w:t>Назначение каждой зоны определяется её естественными условиями, а не стремлением разместить в ней полный набор производств.</w:t>
      </w:r>
    </w:p>
    <w:p>
      <w:pPr>
        <w:pageBreakBefore w:val="0"/>
        <w:spacing w:after="80" w:line="269" w:lineRule="auto"/>
        <w:ind w:firstLine="709"/>
        <w:jc w:val="both"/>
      </w:pPr>
      <w:r>
        <w:rPr>
          <w:rFonts w:ascii="Times New Roman" w:hAnsi="Times New Roman" w:eastAsia="Times New Roman"/>
          <w:b w:val="0"/>
          <w:i w:val="0"/>
          <w:color w:val="20252B"/>
          <w:sz w:val="20"/>
        </w:rPr>
        <w:t>Б.13. Водный баланс станции</w:t>
      </w:r>
    </w:p>
    <w:p>
      <w:pPr>
        <w:pageBreakBefore w:val="0"/>
        <w:spacing w:after="80" w:line="269" w:lineRule="auto"/>
        <w:ind w:firstLine="397"/>
        <w:jc w:val="both"/>
      </w:pPr>
      <w:r>
        <w:rPr>
          <w:rFonts w:ascii="Times New Roman" w:hAnsi="Times New Roman" w:eastAsia="Times New Roman"/>
          <w:b w:val="0"/>
          <w:i w:val="0"/>
          <w:color w:val="20252B"/>
          <w:sz w:val="20"/>
        </w:rPr>
        <w:t>Теплицы и гидропонные установки в холодной зоне не размещаются; культуры переносятся в тёплые зоны. В холодной зоне остаются морозостойкие многолетники, водоросли, рыба холодных бассейнов и низкотемпературные производства.</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Что переносится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Куда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Основание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 зелень, лекарственные травы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Субтропическая зона, 10–22 км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Свет ОСБ 170 Вт/м², +15…+28 °C</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 (тёмные помещения)</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Умеренная зона, 22–32 км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Света не требуют, 0…+15 °C достаточно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выведено из холодной зоны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Перенос культур в тёплые зоны снижает нагрузку на станцию на 4,15 ГВт, или 0,58 % полной электрической мощности 721,4 ГВт.</w:t>
      </w:r>
    </w:p>
    <w:p>
      <w:pPr>
        <w:pageBreakBefore w:val="0"/>
        <w:spacing w:after="80" w:line="269" w:lineRule="auto"/>
        <w:ind w:firstLine="397"/>
        <w:jc w:val="both"/>
      </w:pPr>
      <w:r>
        <w:rPr>
          <w:rFonts w:ascii="Times New Roman" w:hAnsi="Times New Roman" w:eastAsia="Times New Roman"/>
          <w:b w:val="0"/>
          <w:i w:val="0"/>
          <w:color w:val="20252B"/>
          <w:sz w:val="20"/>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pageBreakBefore w:val="0"/>
        <w:spacing w:after="80" w:line="269" w:lineRule="auto"/>
        <w:ind w:firstLine="397"/>
        <w:jc w:val="both"/>
      </w:pPr>
      <w:r>
        <w:rPr>
          <w:rFonts w:ascii="Times New Roman" w:hAnsi="Times New Roman" w:eastAsia="Times New Roman"/>
          <w:b w:val="0"/>
          <w:i w:val="0"/>
          <w:color w:val="20252B"/>
          <w:sz w:val="20"/>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pageBreakBefore w:val="0"/>
        <w:spacing w:after="80" w:line="269" w:lineRule="auto"/>
        <w:ind w:firstLine="397"/>
        <w:jc w:val="both"/>
      </w:pPr>
      <w:r>
        <w:rPr>
          <w:rFonts w:ascii="Times New Roman" w:hAnsi="Times New Roman" w:eastAsia="Times New Roman"/>
          <w:b w:val="0"/>
          <w:i w:val="0"/>
          <w:color w:val="20252B"/>
          <w:sz w:val="20"/>
        </w:rPr>
        <w:t>Водный баланс станции составляет 1,171 млрд т; его структура приведена в таблице водного баланса. Открытая вода является только частью общего запаса, основная доля связана в почве и оборотных контурах.</w:t>
      </w:r>
    </w:p>
    <w:p>
      <w:pPr>
        <w:pageBreakBefore w:val="0"/>
        <w:spacing w:after="80" w:line="269" w:lineRule="auto"/>
        <w:ind w:firstLine="397"/>
        <w:jc w:val="both"/>
      </w:pPr>
      <w:r>
        <w:rPr>
          <w:rFonts w:ascii="Times New Roman" w:hAnsi="Times New Roman" w:eastAsia="Times New Roman"/>
          <w:b w:val="0"/>
          <w:i w:val="0"/>
          <w:color w:val="20252B"/>
          <w:sz w:val="20"/>
        </w:rPr>
        <w:t>Для одного цилиндра масса воды составляет 0,586 млрд т, для станции — 1,171 млрд т. Эти значения используются в массовом балансе, сроке оборота и расчёте потерь при регенерации.</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Составляющая водного баланса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Расчёт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Объём, км³</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Открытые водоёмы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135 км² × 1,2 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0,162</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28 %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Рыбные бассейны (насыпные)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 × 3,0 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0,045</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Почвенная влага под посевами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403,5 км² × 1,5 м × 25 % об.</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0,151</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26 %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Почвенная влага лугов и резерва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343 км² × 1,5 м × 18 % об.</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0,093</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Почвенная влага прочих земель</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653,6 км² × 1,5 м × 8 % об.</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0,078</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Атмосферная влага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3 612,8 км³ × 12 г/м³ × 0,65</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0,028</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Оборотная техническая и бытовая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трубопроводы, баки, очистка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0,020</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Вода биомассы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растения, животные, люди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0,008</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на цилиндр</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0,586</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на станцию</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два цилиндра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1,171</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Итог водного баланса — 1,171 млрд т на станцию; округлённое значение в сводных таблицах — 1,17 млрд т.</w:t>
      </w:r>
    </w:p>
    <w:p>
      <w:pPr>
        <w:pageBreakBefore w:val="0"/>
        <w:spacing w:after="80" w:line="269" w:lineRule="auto"/>
        <w:ind w:firstLine="397"/>
        <w:jc w:val="both"/>
      </w:pPr>
      <w:r>
        <w:rPr>
          <w:rFonts w:ascii="Times New Roman" w:hAnsi="Times New Roman" w:eastAsia="Times New Roman"/>
          <w:b w:val="0"/>
          <w:i w:val="0"/>
          <w:color w:val="20252B"/>
          <w:sz w:val="20"/>
        </w:rPr>
        <w:t>Для прочности принимается усреднённая нагрузка от водных масс 377,7 кг/м², или около 3,7 кПа; эта величина входит в проектную нагрузку оболочки.</w:t>
      </w:r>
    </w:p>
    <w:p>
      <w:pPr>
        <w:pageBreakBefore w:val="0"/>
        <w:spacing w:after="80" w:line="269" w:lineRule="auto"/>
        <w:ind w:firstLine="709"/>
        <w:jc w:val="both"/>
      </w:pPr>
      <w:r>
        <w:rPr>
          <w:rFonts w:ascii="Times New Roman" w:hAnsi="Times New Roman" w:eastAsia="Times New Roman"/>
          <w:b w:val="0"/>
          <w:i w:val="0"/>
          <w:color w:val="20252B"/>
          <w:sz w:val="20"/>
        </w:rPr>
        <w:t>Б.14. Шпангоуты: шаг, сечение и масса</w:t>
      </w:r>
    </w:p>
    <w:p>
      <w:pPr>
        <w:pageBreakBefore w:val="0"/>
        <w:spacing w:after="80" w:line="269" w:lineRule="auto"/>
        <w:ind w:firstLine="397"/>
        <w:jc w:val="both"/>
      </w:pPr>
      <w:r>
        <w:rPr>
          <w:rFonts w:ascii="Times New Roman" w:hAnsi="Times New Roman" w:eastAsia="Times New Roman"/>
          <w:b w:val="0"/>
          <w:i w:val="0"/>
          <w:color w:val="20252B"/>
          <w:sz w:val="20"/>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Сечение шпангоута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W, м³</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σ при монтаже, МПа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Пригодность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 1 500 мм, стенка 30 мм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0,22</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2 460</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годен</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 2 500 мм, стенка 40 мм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0,81</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659</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Принято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 5 000 мм, стенка 50 мм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4,09</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130</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Избыточно</w:t>
            </w:r>
          </w:p>
        </w:tc>
      </w:tr>
    </w:tbl>
    <w:p>
      <w:pPr>
        <w:pageBreakBefore w:val="0"/>
        <w:spacing w:after="80" w:line="269" w:lineRule="auto"/>
        <w:ind w:firstLine="397"/>
        <w:jc w:val="both"/>
      </w:pPr>
      <w:r>
        <w:rPr>
          <w:rFonts w:ascii="Times New Roman" w:hAnsi="Times New Roman" w:eastAsia="Times New Roman"/>
          <w:b w:val="0"/>
          <w:i w:val="0"/>
          <w:color w:val="20252B"/>
          <w:sz w:val="20"/>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Элемент силового набора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Сечение</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Количество</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Масса, млн т</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 пакета</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Шпангоуты, шаг 100 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 2 500 × 40 мм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 колец</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58,6</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0,41 %</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Стрингеры, шаг 50 м по окружности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1 000 × 500 × 20 мм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628 шт. по 40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0,08 %</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набор на цилиндр</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70,1</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0,50 %</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набор на станцию</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140,1</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pageBreakBefore w:val="0"/>
        <w:spacing w:after="80" w:line="269" w:lineRule="auto"/>
        <w:ind w:firstLine="397"/>
        <w:jc w:val="both"/>
      </w:pPr>
      <w:r>
        <w:rPr>
          <w:rFonts w:ascii="Times New Roman" w:hAnsi="Times New Roman" w:eastAsia="Times New Roman"/>
          <w:b w:val="0"/>
          <w:i w:val="0"/>
          <w:color w:val="20252B"/>
          <w:sz w:val="20"/>
        </w:rPr>
        <w:t>В эксплуатации форму цилиндра удерживает центробежное натяжение, а шпангоуты нужны на монтаже и для местной устойчивости у вырезов. Принятое сечение 5 000 × 2 500 мм со стенкой 40 мм даёт 146 391 т на кольцо; при шаге 100 м силовой набор составляет 70,1 млн т на цилиндр.</w:t>
      </w:r>
    </w:p>
    <w:p>
      <w:pPr>
        <w:pageBreakBefore w:val="0"/>
        <w:spacing w:after="80" w:line="269" w:lineRule="auto"/>
        <w:ind w:firstLine="709"/>
        <w:jc w:val="both"/>
      </w:pPr>
      <w:r>
        <w:rPr>
          <w:rFonts w:ascii="Times New Roman" w:hAnsi="Times New Roman" w:eastAsia="Times New Roman"/>
          <w:b w:val="0"/>
          <w:i w:val="0"/>
          <w:color w:val="20252B"/>
          <w:sz w:val="20"/>
        </w:rPr>
        <w:t>Б.15. Сводные балансы при населении 1 000 000 человек</w:t>
      </w:r>
    </w:p>
    <w:p>
      <w:pPr>
        <w:pageBreakBefore w:val="0"/>
        <w:spacing w:after="80" w:line="269" w:lineRule="auto"/>
        <w:ind w:firstLine="397"/>
        <w:jc w:val="both"/>
      </w:pPr>
      <w:r>
        <w:rPr>
          <w:rFonts w:ascii="Times New Roman" w:hAnsi="Times New Roman" w:eastAsia="Times New Roman"/>
          <w:b w:val="0"/>
          <w:i w:val="0"/>
          <w:color w:val="20252B"/>
          <w:sz w:val="20"/>
        </w:rPr>
        <w:t>При населении 1 000 000 человек потребление кислорода дыханием составляет 306 600 т/год, выделение углекислого газа — 365 000 т/год, бытовое водопотребление — 73,05 млн м³/год, бытовая электрическая мощность — 6 ГВт.</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Величина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 500 тыс.</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 1 млн</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Характер зависимости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Потребление кислорода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153 300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306 600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Выделение углекислого газа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182 500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365 000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Кратность выработки O₂ посевами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116</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58</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Кратность связывания CO₂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134</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67</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Запас кислорода атмосферы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11 000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5 500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Прирост CO₂ при остановке растений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16,5 ppm/год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31,9 ppm/год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Срок до порога 1 000 ppm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35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Бытовое электропотребление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ГВт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ГВт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Доля быта в энергобалансе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0,42 %</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0,83 %</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Пропорционально мощности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Заселение 500 000 чел. по транспорту</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1,9 сут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15,4 суток на цилиндр; 7,7 суток на станцию</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1 350 чел./ч на цилиндр; 2 700 чел./ч на станцию; без карантина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Мощность на жителя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6 000 Вт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6 000 Вт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зависит</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Потребность в энергии пищи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1,022 трлн ккал</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1,022 трлн ккал</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Уже для 1 млн</w:t>
            </w:r>
          </w:p>
        </w:tc>
      </w:tr>
    </w:tbl>
    <w:p>
      <w:pPr>
        <w:pageBreakBefore w:val="0"/>
        <w:spacing w:after="80" w:line="269" w:lineRule="auto"/>
        <w:ind w:firstLine="397"/>
        <w:jc w:val="both"/>
      </w:pPr>
      <w:r>
        <w:rPr>
          <w:rFonts w:ascii="Times New Roman" w:hAnsi="Times New Roman" w:eastAsia="Times New Roman"/>
          <w:b w:val="0"/>
          <w:i w:val="0"/>
          <w:color w:val="20252B"/>
          <w:sz w:val="20"/>
        </w:rPr>
        <w:t>При остановке растениеводства порог 1 000 ppm по углекислому газу достигается примерно за 18 лет; углекислый газ задаёт предельный срок аварийного режима, а не кислород.</w:t>
      </w:r>
    </w:p>
    <w:p>
      <w:pPr>
        <w:pageBreakBefore w:val="0"/>
        <w:spacing w:after="80" w:line="269" w:lineRule="auto"/>
        <w:ind w:firstLine="397"/>
        <w:jc w:val="both"/>
      </w:pPr>
      <w:r>
        <w:rPr>
          <w:rFonts w:ascii="Times New Roman" w:hAnsi="Times New Roman" w:eastAsia="Times New Roman"/>
          <w:b w:val="0"/>
          <w:i w:val="0"/>
          <w:color w:val="20252B"/>
          <w:sz w:val="20"/>
        </w:rPr>
        <w:t>Кратность выработки кислорода посевами при населении 1 000 000 человек составляет около 58; растения выращиваются прежде всего ради пищи, а газовый баланс требует динамического контроля.</w:t>
      </w:r>
    </w:p>
    <w:p>
      <w:pPr>
        <w:pageBreakBefore w:val="0"/>
        <w:spacing w:after="80" w:line="269" w:lineRule="auto"/>
        <w:ind w:firstLine="397"/>
        <w:jc w:val="both"/>
      </w:pPr>
      <w:r>
        <w:rPr>
          <w:rFonts w:ascii="Times New Roman" w:hAnsi="Times New Roman" w:eastAsia="Times New Roman"/>
          <w:b w:val="0"/>
          <w:i w:val="0"/>
          <w:color w:val="20252B"/>
          <w:sz w:val="20"/>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подшипниковые узлы, моторы-генераторы и их силовая электроника 2 ГВт (0,28 %), резерв и потери передачи 31 ГВт (4,30 %), жизнеобеспечение 20 ГВт (2,77 %), быт, транспорт и промышленность 6 ГВт (0,83 %). Для магнитных подшипников 2 ГВт — предварительная эксплуатационная квота до отдельного электромагнитного и теплового расчёта; энергия раскрутки и торможения учитывается как отдельный переходный режим. Полная электрическая мощность остаётся 721,4 ГВт.</w:t>
      </w:r>
    </w:p>
    <w:p>
      <w:pPr>
        <w:pageBreakBefore w:val="0"/>
        <w:spacing w:after="80" w:line="269" w:lineRule="auto"/>
        <w:ind w:firstLine="397"/>
        <w:jc w:val="both"/>
      </w:pPr>
      <w:r>
        <w:rPr>
          <w:rFonts w:ascii="Times New Roman" w:hAnsi="Times New Roman" w:eastAsia="Times New Roman"/>
          <w:b w:val="0"/>
          <w:i w:val="0"/>
          <w:color w:val="20252B"/>
          <w:sz w:val="20"/>
        </w:rPr>
        <w:t>Масса атмосферы составляет 3,77 млрд т на цилиндр и 7,55 млрд т на станцию. Сроки истечения через отверстия рассчитываются для этой массы; механическое повреждение пояса остаётся главным аварийным риском.</w:t>
      </w:r>
    </w:p>
    <w:p>
      <w:pPr>
        <w:pageBreakBefore w:val="0"/>
        <w:spacing w:after="80" w:line="269" w:lineRule="auto"/>
        <w:ind w:firstLine="709"/>
        <w:jc w:val="both"/>
      </w:pPr>
      <w:r>
        <w:rPr>
          <w:rFonts w:ascii="Times New Roman" w:hAnsi="Times New Roman" w:eastAsia="Times New Roman"/>
          <w:b w:val="0"/>
          <w:i w:val="0"/>
          <w:color w:val="20252B"/>
          <w:sz w:val="20"/>
        </w:rPr>
        <w:t>Б.16. Массы пакета обшивки: геометрия и послойный расчёт</w:t>
      </w:r>
    </w:p>
    <w:p>
      <w:pPr>
        <w:pageBreakBefore w:val="0"/>
        <w:spacing w:after="80" w:line="269" w:lineRule="auto"/>
        <w:ind w:firstLine="397"/>
      </w:pPr>
      <w:r>
        <w:rPr>
          <w:rFonts w:ascii="Times New Roman" w:hAnsi="Times New Roman" w:eastAsia="Times New Roman"/>
          <w:b w:val="0"/>
          <w:i w:val="0"/>
          <w:color w:val="20252B"/>
          <w:sz w:val="20"/>
        </w:rPr>
        <w:t>Полная внутренняя площадь одного цилиндра составляет 1 550,1 км². Послойный расчёт даёт 13,354 млрд т пакета обшивки и 13,426 млрд т с силовым набором; на два цилиндра — 26,85 млрд т. Эти значения используются в сводном массовом балансе и ресурсной оценке.</w:t>
      </w:r>
    </w:p>
    <w:p>
      <w:pPr>
        <w:pStyle w:val="Heading2"/>
        <w:keepNext/>
        <w:pageBreakBefore w:val="0"/>
        <w:spacing w:after="40"/>
        <w:ind/>
        <w:jc w:val="both"/>
      </w:pPr>
      <w:r>
        <w:rPr>
          <w:rFonts w:ascii="Times New Roman" w:hAnsi="Times New Roman" w:eastAsia="Times New Roman"/>
          <w:b/>
          <w:i w:val="0"/>
          <w:color w:val="2F5D83"/>
          <w:sz w:val="25"/>
        </w:rPr>
        <w:t>Б.17. Число и размещение транспортных шахт</w:t>
      </w:r>
    </w:p>
    <w:p>
      <w:pPr>
        <w:pageBreakBefore w:val="0"/>
        <w:spacing w:after="80" w:line="269" w:lineRule="auto"/>
        <w:ind w:firstLine="397"/>
        <w:jc w:val="both"/>
      </w:pPr>
      <w:r>
        <w:rPr>
          <w:rFonts w:ascii="Times New Roman" w:hAnsi="Times New Roman" w:eastAsia="Times New Roman"/>
          <w:b w:val="0"/>
          <w:i w:val="0"/>
          <w:color w:val="20252B"/>
          <w:sz w:val="20"/>
        </w:rPr>
        <w:t>На каждом цилиндре предусмотрены две транспортные шахты в толще переднего торцевого купола; всего на станции четыре шахты. Они размещены на передних неподвижных рамах и ведут к защищённым осевым коридорам А и Б.</w:t>
      </w:r>
    </w:p>
    <w:p>
      <w:pPr>
        <w:pageBreakBefore w:val="0"/>
        <w:spacing w:after="80" w:line="269" w:lineRule="auto"/>
        <w:ind w:firstLine="397"/>
        <w:jc w:val="both"/>
      </w:pPr>
      <w:r>
        <w:rPr>
          <w:rFonts w:ascii="Times New Roman" w:hAnsi="Times New Roman" w:eastAsia="Times New Roman"/>
          <w:b w:val="0"/>
          <w:i w:val="0"/>
          <w:color w:val="20252B"/>
          <w:sz w:val="20"/>
        </w:rPr>
        <w:t>Основание решения геометрическое и эксплуатационное. Вход на каждый цилиндр единственен: причал вынесен на отдельную неподвижную переднюю раму, за ним расположены карантинный контур, подшипниковый узел и два независимых коридора А и Б. Внутри каждого коридора восходящий и нисходящий каналы разделены физической гермостенкой. Шахта, проложенная в цилиндрической части, начиналась бы в приосевом объёме и требовала бы отдельного пути вдоль оси; принятая схема проводит защищённый осевой участок внутри передней полусферы, после чего разводит два коридора по зеркальным наклонным трассам.</w:t>
      </w:r>
    </w:p>
    <w:p>
      <w:pPr>
        <w:pageBreakBefore w:val="0"/>
        <w:spacing w:after="80" w:line="269" w:lineRule="auto"/>
        <w:ind w:firstLine="397"/>
        <w:jc w:val="both"/>
      </w:pPr>
      <w:r>
        <w:rPr>
          <w:rFonts w:ascii="Times New Roman" w:hAnsi="Times New Roman" w:eastAsia="Times New Roman"/>
          <w:b w:val="0"/>
          <w:i w:val="0"/>
          <w:color w:val="20252B"/>
          <w:sz w:val="20"/>
        </w:rPr>
        <w:t>Длина маршрута разделена на две конструктивные части. Защищённый осевой участок от вращающегося интерфейса до точки разделения r = 150 м имеет около 2 506 м. Логарифмическая спираль от r = 150 м до r = 5 000 м при θ = 10° имеет около 4 923 м; с учётом округления каноническая длина маршрута составляет 7 429 м. Коридоры А и Б являются зеркальными и имеют одинаковую длину. Точная разница в 1–2 м уточняется после задания координат устьев и не влияет на компоновку.</w:t>
      </w:r>
    </w:p>
    <w:p>
      <w:pPr>
        <w:pageBreakBefore w:val="0"/>
        <w:spacing w:after="80" w:line="269" w:lineRule="auto"/>
        <w:ind w:firstLine="397"/>
        <w:jc w:val="both"/>
      </w:pPr>
      <w:r>
        <w:rPr>
          <w:rFonts w:ascii="Times New Roman" w:hAnsi="Times New Roman" w:eastAsia="Times New Roman"/>
          <w:b w:val="0"/>
          <w:i w:val="0"/>
          <w:color w:val="20252B"/>
          <w:sz w:val="20"/>
        </w:rPr>
        <w:t>Время поездки по спиральной части получено интегрированием закона постоянного наклона v(r) =  и составляет около 15,2 минуты; оставшееся время до штатных 17,8 минуты приходится на осевой участок, синхронизацию роторной камеры, разгон, торможение и межсекционные ограничения скорости. Скорость у жилой поверхности — 19,5 м/с, у точки разделения — около 0,59 м/с, после чего кабина плавно переходит в роторную приёмную камеру.</w:t>
      </w:r>
    </w:p>
    <w:p>
      <w:pPr>
        <w:pageBreakBefore w:val="0"/>
        <w:spacing w:after="80" w:line="269" w:lineRule="auto"/>
        <w:ind w:firstLine="397"/>
        <w:jc w:val="both"/>
      </w:pPr>
      <w:r>
        <w:rPr>
          <w:rFonts w:ascii="Times New Roman" w:hAnsi="Times New Roman" w:eastAsia="Times New Roman"/>
          <w:b w:val="0"/>
          <w:i w:val="0"/>
          <w:color w:val="20252B"/>
          <w:sz w:val="20"/>
        </w:rPr>
        <w:t>Пропускная способность. При кабине на 100 человек и двух парах кабин на коридор интервал отправления равен 17,8 минуты, что даёт около 675 человек в час на один коридор и около 1 350 человек в час на один цилиндр. При выводе одного коридора второй сохраняет около 338 человек в час. Полная транспортная система четырёх коридоров станции даёт около 2 700 человек в час; заселение 500 000 человек при полной работе занимает около 7,7 суток, один цилиндр — около 15,4 суток, а один коридор — около 31 суток. Фактический срок всё равно определяется карантином и остаётся около десяти лет.</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что это сокращение не является ограничением проекта. Даже консервативная транспортная оценка ниже санитарной пропускной способности не является узким местом при десятилетнем заселении. Карантинный контур и его 40-суточная выдержка определяют реальную скорость приёма людей, а транспорт обеспечивает резерв и возможность ремонта одного коридора без полной потери сообщения.</w:t>
      </w:r>
    </w:p>
    <w:p>
      <w:pPr>
        <w:pageBreakBefore w:val="0"/>
        <w:spacing w:after="80" w:line="269" w:lineRule="auto"/>
        <w:ind w:firstLine="397"/>
        <w:jc w:val="both"/>
      </w:pPr>
      <w:r>
        <w:rPr>
          <w:rFonts w:ascii="Times New Roman" w:hAnsi="Times New Roman" w:eastAsia="Times New Roman"/>
          <w:b w:val="0"/>
          <w:i w:val="0"/>
          <w:color w:val="20252B"/>
          <w:sz w:val="20"/>
        </w:rPr>
        <w:t>Сопутствующий выигрыш по массе. Одно устье шахты диаметром 30 м прерывает погонное усилие пояса и требует окантовки массой 27 386 т. В принятой схеме четыре транспортных устья на станции дают около 0,11 млн т собственно окантовки; с учётом причальных и стыковых вырезов расчётная масса локальной окантовки составляет около 0,44 млн т на станцию. Одновременно уменьшается число мест концентрации напряжений в силовом поясе — сорок крупных вырезов были самостоятельным фактором риска.</w:t>
      </w:r>
    </w:p>
    <w:p>
      <w:pPr>
        <w:pageBreakBefore w:val="0"/>
        <w:spacing w:after="80" w:line="269" w:lineRule="auto"/>
        <w:ind w:firstLine="397"/>
        <w:jc w:val="both"/>
      </w:pPr>
      <w:r>
        <w:rPr>
          <w:rFonts w:ascii="Times New Roman" w:hAnsi="Times New Roman" w:eastAsia="Times New Roman"/>
          <w:b w:val="0"/>
          <w:i w:val="0"/>
          <w:color w:val="20252B"/>
          <w:sz w:val="20"/>
        </w:rPr>
        <w:t>Резервирование. Два коридора каждого цилиндра обеспечивают взаимное резервирование: при выводе одного на обслуживание второй сохраняет около 338 человек в час. В каждом коридоре отдельный механический фуникулёрно-эвакуационный рельс дублирует привод основной кабины; полную независимость от повреждения всей шахты обеспечивают разнесённые коридоры А и Б.</w:t>
      </w:r>
    </w:p>
    <w:p>
      <w:pPr>
        <w:pStyle w:val="Heading1"/>
        <w:keepNext/>
        <w:pageBreakBefore w:val="0"/>
        <w:spacing w:after="40"/>
        <w:jc w:val="left"/>
      </w:pPr>
      <w:r>
        <w:rPr>
          <w:rFonts w:ascii="Times New Roman" w:hAnsi="Times New Roman" w:eastAsia="Times New Roman"/>
          <w:b/>
          <w:i w:val="0"/>
          <w:color w:val="1F3A5F"/>
          <w:sz w:val="30"/>
        </w:rPr>
        <w:t>11. ДОПОЛНИТЕЛЬНЫЕ ИНЖЕНЕРНЫЕ ВОПРОСЫ</w:t>
      </w:r>
    </w:p>
    <w:p>
      <w:pPr>
        <w:pageBreakBefore w:val="0"/>
        <w:spacing w:after="80" w:line="269" w:lineRule="auto"/>
        <w:ind w:firstLine="397"/>
        <w:jc w:val="both"/>
      </w:pPr>
      <w:r>
        <w:rPr>
          <w:rFonts w:ascii="Times New Roman" w:hAnsi="Times New Roman" w:eastAsia="Times New Roman"/>
          <w:b w:val="0"/>
          <w:i w:val="0"/>
          <w:color w:val="20252B"/>
          <w:sz w:val="20"/>
        </w:rPr>
        <w:t>Глава объединяет дополнительные инженерные и эксплуатационные вопросы, необходимые для перехода от концептуальной модели к демонстраторам и предварительному проектированию. Ось станции остаётся неподвижной в инерциальном пространстве, освещение — реакторным, а удержание в L1 обеспечивается установкой мощностью 63,4 ГВт.</w:t>
      </w:r>
    </w:p>
    <w:p>
      <w:pPr>
        <w:pStyle w:val="Heading2"/>
        <w:keepNext/>
        <w:pageBreakBefore w:val="0"/>
        <w:spacing w:after="40"/>
        <w:jc w:val="left"/>
      </w:pPr>
      <w:r>
        <w:rPr>
          <w:rFonts w:ascii="Times New Roman" w:hAnsi="Times New Roman" w:eastAsia="Times New Roman"/>
          <w:b/>
          <w:i w:val="0"/>
          <w:color w:val="2F5D83"/>
          <w:sz w:val="25"/>
        </w:rPr>
        <w:t>11.1. Микрометеориты и космический мусор</w:t>
      </w:r>
    </w:p>
    <w:p>
      <w:pPr>
        <w:pageBreakBefore w:val="0"/>
        <w:spacing w:after="80" w:line="269" w:lineRule="auto"/>
        <w:ind w:firstLine="397"/>
        <w:jc w:val="both"/>
      </w:pPr>
      <w:r>
        <w:rPr>
          <w:rFonts w:ascii="Times New Roman" w:hAnsi="Times New Roman" w:eastAsia="Times New Roman"/>
          <w:b w:val="0"/>
          <w:i w:val="0"/>
          <w:color w:val="20252B"/>
          <w:sz w:val="20"/>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pageBreakBefore w:val="0"/>
        <w:spacing w:after="80" w:line="269" w:lineRule="auto"/>
        <w:ind w:firstLine="397"/>
        <w:jc w:val="both"/>
      </w:pPr>
      <w:r>
        <w:rPr>
          <w:rFonts w:ascii="Times New Roman" w:hAnsi="Times New Roman" w:eastAsia="Times New Roman"/>
          <w:b w:val="0"/>
          <w:i w:val="0"/>
          <w:color w:val="20252B"/>
          <w:sz w:val="20"/>
        </w:rPr>
        <w:t>Пробойная способность оценивается по глубине кратера, которая при скорости соударения около 20 км/с составляет от двух до пяти калибров частицы. Противометеороидная защита является обязательной частью наружного пакета и не выступает за гладкую внешнюю поверхность: внешняя ударная обшивка, внутренний вакуумный зазор, несколько жертвенных экранов и волокнисто-керамический уловитель дробят частицу до того, как облако обломков достигает гермооболочки и силового пояса. Радиационная защита из реголита и боросиликатного стекла работает как дополнительный слой, но не считается единственным экраном Уиппла. Расчёт B-L пределов для частиц от микрограммового до метрового диапазона, локальная сигнализация пробоя и роботизированная герметизация секций должны быть выполнены отдельным проектом. Все экраны находятся под гладкой наружной обшивкой и не образуют наружных колец или рёбер.</w:t>
      </w:r>
    </w:p>
    <w:p>
      <w:pPr>
        <w:pageBreakBefore w:val="0"/>
        <w:spacing w:after="80" w:line="269" w:lineRule="auto"/>
        <w:ind w:firstLine="397"/>
        <w:jc w:val="both"/>
      </w:pPr>
      <w:r>
        <w:rPr>
          <w:rFonts w:ascii="Times New Roman" w:hAnsi="Times New Roman" w:eastAsia="Times New Roman"/>
          <w:b w:val="0"/>
          <w:i w:val="0"/>
          <w:color w:val="20252B"/>
          <w:sz w:val="20"/>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pStyle w:val="Heading2"/>
        <w:keepNext/>
        <w:pageBreakBefore w:val="0"/>
        <w:spacing w:after="40"/>
        <w:jc w:val="left"/>
      </w:pPr>
      <w:r>
        <w:rPr>
          <w:rFonts w:ascii="Times New Roman" w:hAnsi="Times New Roman" w:eastAsia="Times New Roman"/>
          <w:b/>
          <w:i w:val="0"/>
          <w:color w:val="2F5D83"/>
          <w:sz w:val="25"/>
        </w:rPr>
        <w:t>11.2. Отходы и замыкание массового баланса</w:t>
      </w:r>
    </w:p>
    <w:p>
      <w:pPr>
        <w:pageBreakBefore w:val="0"/>
        <w:spacing w:after="80" w:line="269" w:lineRule="auto"/>
        <w:ind w:firstLine="397"/>
        <w:jc w:val="both"/>
      </w:pPr>
      <w:r>
        <w:rPr>
          <w:rFonts w:ascii="Times New Roman" w:hAnsi="Times New Roman" w:eastAsia="Times New Roman"/>
          <w:b w:val="0"/>
          <w:i w:val="0"/>
          <w:color w:val="20252B"/>
          <w:sz w:val="20"/>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pStyle w:val="Heading2"/>
        <w:keepNext/>
        <w:pageBreakBefore w:val="0"/>
        <w:spacing w:after="40"/>
        <w:jc w:val="left"/>
      </w:pPr>
      <w:r>
        <w:rPr>
          <w:rFonts w:ascii="Times New Roman" w:hAnsi="Times New Roman"/>
        </w:rPr>
        <w:t>11.3. Умершие жители</w:t>
      </w:r>
    </w:p>
    <w:p>
      <w:pPr>
        <w:pageBreakBefore w:val="0"/>
        <w:spacing w:after="80" w:line="269" w:lineRule="auto"/>
        <w:ind w:firstLine="397"/>
        <w:jc w:val="both"/>
      </w:pPr>
      <w:r>
        <w:rPr>
          <w:rFonts w:ascii="Times New Roman" w:hAnsi="Times New Roman" w:eastAsia="Times New Roman"/>
          <w:b w:val="0"/>
          <w:i w:val="0"/>
          <w:color w:val="20252B"/>
          <w:sz w:val="20"/>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pageBreakBefore w:val="0"/>
        <w:spacing w:after="80" w:line="269" w:lineRule="auto"/>
        <w:ind w:firstLine="397"/>
        <w:jc w:val="both"/>
      </w:pPr>
      <w:r>
        <w:rPr>
          <w:rFonts w:ascii="Times New Roman" w:hAnsi="Times New Roman" w:eastAsia="Times New Roman"/>
          <w:b w:val="0"/>
          <w:i w:val="0"/>
          <w:color w:val="20252B"/>
          <w:sz w:val="20"/>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pStyle w:val="Heading2"/>
        <w:keepNext/>
        <w:pageBreakBefore w:val="0"/>
        <w:spacing w:after="40"/>
        <w:jc w:val="left"/>
      </w:pPr>
      <w:r>
        <w:rPr>
          <w:rFonts w:ascii="Times New Roman" w:hAnsi="Times New Roman" w:eastAsia="Times New Roman"/>
          <w:b/>
          <w:i w:val="0"/>
          <w:color w:val="2F5D83"/>
          <w:sz w:val="25"/>
        </w:rPr>
        <w:t>11.4. Рождаемость и возрастная структура</w:t>
      </w:r>
    </w:p>
    <w:p>
      <w:pPr>
        <w:pageBreakBefore w:val="0"/>
        <w:spacing w:after="80" w:line="269" w:lineRule="auto"/>
        <w:ind w:firstLine="397"/>
        <w:jc w:val="both"/>
      </w:pPr>
      <w:r>
        <w:rPr>
          <w:rFonts w:ascii="Times New Roman" w:hAnsi="Times New Roman" w:eastAsia="Times New Roman"/>
          <w:b w:val="0"/>
          <w:i w:val="0"/>
          <w:color w:val="20252B"/>
          <w:sz w:val="20"/>
        </w:rPr>
        <w:t>Расчётная численность станции — 1 000 000 человек, по 500 000 на цилиндр. При коэффициенте рождаемости 2,1 население воспроизводится без роста; отклонения демографических параметров требуют отдельного моделирования и резерва продовольствия.</w:t>
      </w:r>
    </w:p>
    <w:p>
      <w:pPr>
        <w:pageBreakBefore w:val="0"/>
        <w:spacing w:after="80" w:line="269" w:lineRule="auto"/>
        <w:ind w:firstLine="397"/>
        <w:jc w:val="both"/>
      </w:pPr>
      <w:r>
        <w:rPr>
          <w:rFonts w:ascii="Times New Roman" w:hAnsi="Times New Roman" w:eastAsia="Times New Roman"/>
          <w:b w:val="0"/>
          <w:i w:val="0"/>
          <w:color w:val="20252B"/>
          <w:sz w:val="20"/>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pStyle w:val="Heading2"/>
        <w:keepNext/>
        <w:pageBreakBefore w:val="0"/>
        <w:spacing w:after="40"/>
        <w:jc w:val="left"/>
      </w:pPr>
      <w:r>
        <w:rPr>
          <w:rFonts w:ascii="Times New Roman" w:hAnsi="Times New Roman" w:eastAsia="Times New Roman"/>
          <w:b/>
          <w:i w:val="0"/>
          <w:color w:val="2F5D83"/>
          <w:sz w:val="25"/>
        </w:rPr>
        <w:t>11.5. Удержание станции в точке L1</w:t>
      </w:r>
    </w:p>
    <w:p>
      <w:pPr>
        <w:pageBreakBefore w:val="0"/>
        <w:spacing w:after="80" w:line="269" w:lineRule="auto"/>
        <w:ind w:firstLine="397"/>
        <w:jc w:val="both"/>
      </w:pPr>
      <w:r>
        <w:rPr>
          <w:rFonts w:ascii="Times New Roman" w:hAnsi="Times New Roman" w:eastAsia="Times New Roman"/>
          <w:b w:val="0"/>
          <w:i w:val="0"/>
          <w:color w:val="20252B"/>
          <w:sz w:val="20"/>
        </w:rPr>
        <w:t>Место размещения — первая точка Лагранжа системы Земля — Солнце. Точка неустойчива, поэтому станция оснащается установкой удержания с расходом рабочего тела, рассчитанным в п. 11.5.</w:t>
      </w:r>
    </w:p>
    <w:p>
      <w:pPr>
        <w:pageBreakBefore w:val="0"/>
        <w:spacing w:after="80" w:line="269" w:lineRule="auto"/>
        <w:ind w:firstLine="397"/>
        <w:jc w:val="both"/>
      </w:pPr>
      <w:r>
        <w:rPr>
          <w:rFonts w:ascii="Times New Roman" w:hAnsi="Times New Roman" w:eastAsia="Times New Roman"/>
          <w:b w:val="0"/>
          <w:i w:val="0"/>
          <w:color w:val="20252B"/>
          <w:sz w:val="20"/>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pageBreakBefore w:val="0"/>
        <w:spacing w:after="80" w:line="269" w:lineRule="auto"/>
        <w:ind w:firstLine="397"/>
        <w:jc w:val="both"/>
      </w:pPr>
      <w:r>
        <w:rPr>
          <w:rFonts w:ascii="Times New Roman" w:hAnsi="Times New Roman" w:eastAsia="Times New Roman"/>
          <w:b w:val="0"/>
          <w:i w:val="0"/>
          <w:color w:val="20252B"/>
          <w:sz w:val="20"/>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pageBreakBefore w:val="0"/>
        <w:spacing w:after="80" w:line="269" w:lineRule="auto"/>
        <w:ind w:firstLine="397"/>
        <w:jc w:val="both"/>
      </w:pPr>
      <w:r>
        <w:rPr>
          <w:rFonts w:ascii="Times New Roman" w:hAnsi="Times New Roman" w:eastAsia="Times New Roman"/>
          <w:b w:val="0"/>
          <w:i w:val="0"/>
          <w:color w:val="20252B"/>
          <w:sz w:val="20"/>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pageBreakBefore w:val="0"/>
        <w:spacing w:after="80" w:line="269" w:lineRule="auto"/>
        <w:ind w:firstLine="397"/>
        <w:jc w:val="both"/>
      </w:pPr>
      <w:r>
        <w:rPr>
          <w:rFonts w:ascii="Times New Roman" w:hAnsi="Times New Roman" w:eastAsia="Times New Roman"/>
          <w:b w:val="0"/>
          <w:i w:val="0"/>
          <w:color w:val="20252B"/>
          <w:sz w:val="20"/>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pPr>
        <w:pageBreakBefore w:val="0"/>
        <w:spacing w:after="80" w:line="269" w:lineRule="auto"/>
        <w:ind w:firstLine="397"/>
        <w:jc w:val="both"/>
      </w:pPr>
      <w:r>
        <w:rPr>
          <w:rFonts w:ascii="Times New Roman" w:hAnsi="Times New Roman" w:eastAsia="Times New Roman"/>
          <w:b w:val="0"/>
          <w:i w:val="0"/>
          <w:color w:val="20252B"/>
          <w:sz w:val="20"/>
        </w:rP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pageBreakBefore w:val="0"/>
        <w:spacing w:after="80" w:line="269" w:lineRule="auto"/>
        <w:ind w:firstLine="397"/>
        <w:jc w:val="both"/>
      </w:pPr>
      <w:r>
        <w:rPr>
          <w:rFonts w:ascii="Times New Roman" w:hAnsi="Times New Roman" w:eastAsia="Times New Roman"/>
          <w:b w:val="0"/>
          <w:i w:val="0"/>
          <w:color w:val="20252B"/>
          <w:sz w:val="20"/>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pStyle w:val="Heading2"/>
        <w:keepNext/>
        <w:pageBreakBefore w:val="0"/>
        <w:spacing w:after="40"/>
        <w:jc w:val="left"/>
      </w:pPr>
      <w:r>
        <w:rPr>
          <w:rFonts w:ascii="Times New Roman" w:hAnsi="Times New Roman" w:eastAsia="Times New Roman"/>
          <w:b/>
          <w:i w:val="0"/>
          <w:color w:val="2F5D83"/>
          <w:sz w:val="25"/>
        </w:rPr>
        <w:t>11.6. Ориентация и прецессия</w:t>
      </w:r>
    </w:p>
    <w:p>
      <w:pPr>
        <w:pageBreakBefore w:val="0"/>
        <w:spacing w:after="80" w:line="269" w:lineRule="auto"/>
        <w:ind w:firstLine="397"/>
        <w:jc w:val="both"/>
      </w:pPr>
      <w:r>
        <w:rPr>
          <w:rFonts w:ascii="Times New Roman" w:hAnsi="Times New Roman" w:eastAsia="Times New Roman"/>
          <w:b w:val="0"/>
          <w:i w:val="0"/>
          <w:color w:val="20252B"/>
          <w:sz w:val="20"/>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pageBreakBefore w:val="0"/>
        <w:spacing w:after="80" w:line="269" w:lineRule="auto"/>
        <w:ind w:firstLine="397"/>
        <w:jc w:val="both"/>
      </w:pPr>
      <w:r>
        <w:rPr>
          <w:rFonts w:ascii="Times New Roman" w:hAnsi="Times New Roman" w:eastAsia="Times New Roman"/>
          <w:b w:val="0"/>
          <w:i w:val="0"/>
          <w:color w:val="20252B"/>
          <w:sz w:val="20"/>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pStyle w:val="Heading2"/>
        <w:keepNext/>
        <w:pageBreakBefore w:val="0"/>
        <w:spacing w:after="40"/>
        <w:jc w:val="left"/>
      </w:pPr>
      <w:r>
        <w:rPr>
          <w:rFonts w:ascii="Times New Roman" w:hAnsi="Times New Roman" w:eastAsia="Times New Roman"/>
          <w:b/>
          <w:i w:val="0"/>
          <w:color w:val="2F5D83"/>
          <w:sz w:val="25"/>
        </w:rPr>
        <w:t>11.7. Балансировка вращающегося цилиндра</w:t>
      </w:r>
    </w:p>
    <w:p>
      <w:pPr>
        <w:pageBreakBefore w:val="0"/>
        <w:spacing w:after="80" w:line="269" w:lineRule="auto"/>
        <w:ind w:firstLine="397"/>
        <w:jc w:val="both"/>
      </w:pPr>
      <w:r>
        <w:rPr>
          <w:rFonts w:ascii="Times New Roman" w:hAnsi="Times New Roman" w:eastAsia="Times New Roman"/>
          <w:b w:val="0"/>
          <w:i w:val="0"/>
          <w:color w:val="20252B"/>
          <w:sz w:val="20"/>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pStyle w:val="Heading2"/>
        <w:keepNext/>
        <w:pageBreakBefore w:val="0"/>
        <w:spacing w:after="40"/>
        <w:jc w:val="left"/>
      </w:pPr>
      <w:r>
        <w:rPr>
          <w:rFonts w:ascii="Times New Roman" w:hAnsi="Times New Roman" w:eastAsia="Times New Roman"/>
          <w:b/>
          <w:i w:val="0"/>
          <w:color w:val="2F5D83"/>
          <w:sz w:val="25"/>
        </w:rPr>
        <w:t>11.8. Замкнутый оборот воды</w:t>
      </w:r>
    </w:p>
    <w:p>
      <w:pPr>
        <w:pageBreakBefore w:val="0"/>
        <w:spacing w:after="80" w:line="269" w:lineRule="auto"/>
        <w:ind w:firstLine="397"/>
        <w:jc w:val="both"/>
      </w:pPr>
      <w:r>
        <w:rPr>
          <w:rFonts w:ascii="Times New Roman" w:hAnsi="Times New Roman" w:eastAsia="Times New Roman"/>
          <w:b w:val="0"/>
          <w:i w:val="0"/>
          <w:color w:val="20252B"/>
          <w:sz w:val="20"/>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pStyle w:val="Heading2"/>
        <w:keepNext/>
        <w:pageBreakBefore w:val="0"/>
        <w:spacing w:after="40"/>
        <w:jc w:val="left"/>
      </w:pPr>
      <w:r>
        <w:rPr>
          <w:rFonts w:ascii="Times New Roman" w:hAnsi="Times New Roman" w:eastAsia="Times New Roman"/>
          <w:b/>
          <w:i w:val="0"/>
          <w:color w:val="2F5D83"/>
          <w:sz w:val="25"/>
        </w:rPr>
        <w:t>11.9. Стоимость и правовой статус</w:t>
      </w:r>
    </w:p>
    <w:p>
      <w:pPr>
        <w:pageBreakBefore w:val="0"/>
        <w:spacing w:after="80" w:line="269" w:lineRule="auto"/>
        <w:ind w:firstLine="397"/>
        <w:jc w:val="both"/>
      </w:pPr>
      <w:r>
        <w:rPr>
          <w:rFonts w:ascii="Times New Roman" w:hAnsi="Times New Roman" w:eastAsia="Times New Roman"/>
          <w:b w:val="0"/>
          <w:i w:val="0"/>
          <w:color w:val="20252B"/>
          <w:sz w:val="20"/>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Документ является инженерным расчётом; экономическая и правовая проработка составляет предмет отдельных документов и здесь не выполняется.</w:t>
      </w:r>
    </w:p>
    <w:p>
      <w:pPr>
        <w:pStyle w:val="Heading2"/>
        <w:keepNext/>
        <w:pageBreakBefore w:val="0"/>
        <w:spacing w:after="40"/>
      </w:pPr>
      <w:r>
        <w:rPr>
          <w:rFonts w:ascii="Times New Roman" w:hAnsi="Times New Roman" w:eastAsia="Times New Roman"/>
          <w:b/>
          <w:i w:val="0"/>
          <w:color w:val="2F5D83"/>
          <w:sz w:val="25"/>
        </w:rPr>
        <w:t>11.10. Кибербезопасность и критическая автоматика</w:t>
      </w:r>
    </w:p>
    <w:p>
      <w:pPr>
        <w:pageBreakBefore w:val="0"/>
        <w:spacing w:after="80" w:line="269" w:lineRule="auto"/>
        <w:ind w:firstLine="397"/>
        <w:jc w:val="both"/>
      </w:pPr>
      <w:r>
        <w:rPr>
          <w:rFonts w:ascii="Times New Roman" w:hAnsi="Times New Roman" w:eastAsia="Times New Roman"/>
          <w:b w:val="0"/>
          <w:i w:val="0"/>
          <w:color w:val="20252B"/>
          <w:sz w:val="20"/>
        </w:rPr>
        <w:t>Кибербезопасность является отдельным контуром безопасности станции и не сводится к защите офисной сети. Сети управления вращением, герметичными дверями, транспортом, энергетикой, биореакторами, медицинской аппаратурой и аварийным оповещением разделяются физически или через односторонние шлюзы. Для критической команды устанавливаются идентификация оператора, разграничение полномочий, двухоператорное подтверждение опасных действий, неизменяемый журнал событий и аварийный ручной режим. Программное обеспечение должно иметь подписанные версии, резервный образ, процедуру отката и обновление только в утверждённое окно. Потеря связи с Землёй не должна приводить к потере безопасного управления. Конкретная архитектура, перечень угроз, период испытаний и состав независимого аудита ещё не разработаны и являются обязательной задачей до ввода станции в эксплуатацию.</w:t>
      </w:r>
    </w:p>
    <w:p>
      <w:pPr>
        <w:pStyle w:val="Heading2"/>
        <w:keepNext/>
        <w:pageBreakBefore w:val="0"/>
        <w:spacing w:after="40"/>
      </w:pPr>
      <w:r>
        <w:rPr>
          <w:rFonts w:ascii="Times New Roman" w:hAnsi="Times New Roman" w:eastAsia="Times New Roman"/>
          <w:b/>
          <w:i w:val="0"/>
          <w:color w:val="2F5D83"/>
          <w:sz w:val="25"/>
        </w:rPr>
        <w:t>11.11. Аварийное управление, спасение и эвакуация</w:t>
      </w:r>
    </w:p>
    <w:p>
      <w:pPr>
        <w:pageBreakBefore w:val="0"/>
        <w:spacing w:after="80" w:line="269" w:lineRule="auto"/>
        <w:ind w:firstLine="397"/>
        <w:jc w:val="both"/>
      </w:pPr>
      <w:r>
        <w:rPr>
          <w:rFonts w:ascii="Times New Roman" w:hAnsi="Times New Roman" w:eastAsia="Times New Roman"/>
          <w:b w:val="0"/>
          <w:i w:val="0"/>
          <w:color w:val="20252B"/>
          <w:sz w:val="20"/>
        </w:rPr>
        <w:t>Нужна единая система управления происшествиями с четырьмя уровнями: локальная авария, секторная авария, авария цилиндра и общестанционный режим. Для каждого уровня заранее назначаются руководитель, резервный руководитель, порядок объявления тревоги и границы полномочий руководителя проекта, медицинской службы, службы безопасности и органов самоуправления. План спасения должен включать убежища с запасом воздуха, воды и энергии, изоляцию сектора, маршруты к неповреждённым зонам, спасение из транспортной шахты, потерю связи и невозможность немедленной эвакуации на Землю. Внешние причалы рассматриваются как средство помощи, а не как гарантированный путь спасения. До заселения требуются расчёт вместимости убежищ, норматив времени перемещения, регулярные учения и протокол передачи управления российским надзорным органам и внешнему спасательному подрядчику.</w:t>
      </w:r>
    </w:p>
    <w:p>
      <w:pPr>
        <w:pStyle w:val="Heading2"/>
        <w:keepNext/>
        <w:pageBreakBefore w:val="0"/>
        <w:spacing w:after="40"/>
      </w:pPr>
      <w:r>
        <w:rPr>
          <w:rFonts w:ascii="Times New Roman" w:hAnsi="Times New Roman" w:eastAsia="Times New Roman"/>
          <w:b/>
          <w:i w:val="0"/>
          <w:color w:val="2F5D83"/>
          <w:sz w:val="25"/>
        </w:rPr>
        <w:t>11.12. Космическая погода и радиационные события</w:t>
      </w:r>
    </w:p>
    <w:p>
      <w:pPr>
        <w:pageBreakBefore w:val="0"/>
        <w:spacing w:after="80" w:line="269" w:lineRule="auto"/>
        <w:ind w:firstLine="397"/>
        <w:jc w:val="both"/>
      </w:pPr>
      <w:r>
        <w:rPr>
          <w:rFonts w:ascii="Times New Roman" w:hAnsi="Times New Roman" w:eastAsia="Times New Roman"/>
          <w:b w:val="0"/>
          <w:i w:val="0"/>
          <w:color w:val="20252B"/>
          <w:sz w:val="20"/>
        </w:rPr>
        <w:t>Масса радиационной защиты не заменяет эксплуатационный план радиационной безопасности. Станция должна иметь мониторинг галактических космических лучей, солнечных протонных событий и корональных выбросов массы, связь с наземным прогнозом, локальные дозиметры, защищённые убежища и порядок перевода населения в укрытия. Отдельно устанавливаются дозовые пределы для жителей, экипажа, ремонтников, детей и беременных, а также порядок ограничения работ на наружной раме. Проверяются устойчивость автоматики и памяти к радиационным сбоям, отказ связи и потеря части электроники. Количественная модель доз, геометрия убежищ и расписание радиационных учений в документе пока отсутствуют.</w:t>
      </w:r>
    </w:p>
    <w:p>
      <w:pPr>
        <w:pStyle w:val="Heading2"/>
        <w:keepNext/>
        <w:pageBreakBefore w:val="0"/>
        <w:spacing w:after="40"/>
      </w:pPr>
      <w:r>
        <w:rPr>
          <w:rFonts w:ascii="Times New Roman" w:hAnsi="Times New Roman" w:eastAsia="Times New Roman"/>
          <w:b/>
          <w:i w:val="0"/>
          <w:color w:val="2F5D83"/>
          <w:sz w:val="25"/>
        </w:rPr>
        <w:t>11.13. Планетарная защита и биологическое загрязнение</w:t>
      </w:r>
    </w:p>
    <w:p>
      <w:pPr>
        <w:pageBreakBefore w:val="0"/>
        <w:spacing w:after="80" w:line="269" w:lineRule="auto"/>
        <w:ind w:firstLine="397"/>
        <w:jc w:val="both"/>
      </w:pPr>
      <w:r>
        <w:rPr>
          <w:rFonts w:ascii="Times New Roman" w:hAnsi="Times New Roman" w:eastAsia="Times New Roman"/>
          <w:b w:val="0"/>
          <w:i w:val="0"/>
          <w:color w:val="20252B"/>
          <w:sz w:val="20"/>
        </w:rPr>
        <w:t>Карантинный контур защищает станцию от завоза биологических агентов, но не заменяет планетарную защиту. До работ на астероиде устанавливаются чистые и загрязнённые зоны, требования стерилизации роботов и бурового оборудования, порядок обращения с образцами, герметичность лабораторий, журнал передачи проб и запрет необратимого выброса земной биоты до завершения исследования. Отдельно предусматриваются действия при обнаружении возможных внеземных органических соединений или признаков биологической активности. Эти требования распространяются на автора проекта, внешнего перевозчика и все добывающие организации.</w:t>
      </w:r>
    </w:p>
    <w:p>
      <w:pPr>
        <w:pStyle w:val="Heading2"/>
        <w:keepNext/>
        <w:pageBreakBefore w:val="0"/>
        <w:spacing w:after="40"/>
      </w:pPr>
      <w:r>
        <w:rPr>
          <w:rFonts w:ascii="Times New Roman" w:hAnsi="Times New Roman" w:eastAsia="Times New Roman"/>
          <w:b/>
          <w:i w:val="0"/>
          <w:color w:val="2F5D83"/>
          <w:sz w:val="25"/>
        </w:rPr>
        <w:t>11.14. Испытания, сертификация и приёмка</w:t>
      </w:r>
    </w:p>
    <w:p>
      <w:pPr>
        <w:pageBreakBefore w:val="0"/>
        <w:spacing w:after="80" w:line="269" w:lineRule="auto"/>
        <w:ind w:firstLine="397"/>
        <w:jc w:val="both"/>
      </w:pPr>
      <w:r>
        <w:rPr>
          <w:rFonts w:ascii="Times New Roman" w:hAnsi="Times New Roman" w:eastAsia="Times New Roman"/>
          <w:b w:val="0"/>
          <w:i w:val="0"/>
          <w:color w:val="20252B"/>
          <w:sz w:val="20"/>
        </w:rPr>
        <w:t>До заселения станция проходит последовательность: изготовление и заводские испытания; испытания отдельных модулей; сборка; контроль сварных швов и герметичности; проверка вращения и подшипников; испытания энергетики, транспорта, биореакторов и связи; беспилотный режим; испытания с экипажем; независимая проверка безопасности; акт ввода в эксплуатацию. Нужны единая конфигурационная база, контроль изменений, трассировка требований, протоколы отказов и независимая служба приёмки. Ни одна система первой категории — гермопереход, подшипник, реактор, транспортная шахта, биореактор или аварийная автоматика — не может считаться принятой только по расчётному описанию. Программа сертификации и критерии готовности экипажа пока не оформлены.</w:t>
      </w:r>
    </w:p>
    <w:p>
      <w:pPr>
        <w:pStyle w:val="Heading2"/>
        <w:keepNext/>
        <w:pageBreakBefore w:val="0"/>
        <w:spacing w:after="40"/>
      </w:pPr>
      <w:r>
        <w:rPr>
          <w:rFonts w:ascii="Times New Roman" w:hAnsi="Times New Roman" w:eastAsia="Times New Roman"/>
          <w:b/>
          <w:i w:val="0"/>
          <w:color w:val="2F5D83"/>
          <w:sz w:val="25"/>
        </w:rPr>
        <w:t>11.15. Граница ответственности автора проекта и внешнего перевозчика</w:t>
      </w:r>
    </w:p>
    <w:p>
      <w:pPr>
        <w:pageBreakBefore w:val="0"/>
        <w:spacing w:after="80" w:line="269" w:lineRule="auto"/>
        <w:ind w:firstLine="397"/>
        <w:jc w:val="both"/>
      </w:pPr>
      <w:r>
        <w:rPr>
          <w:rFonts w:ascii="Times New Roman" w:hAnsi="Times New Roman" w:eastAsia="Times New Roman"/>
          <w:b w:val="0"/>
          <w:i w:val="0"/>
          <w:color w:val="20252B"/>
          <w:sz w:val="20"/>
        </w:rPr>
        <w:t>В проектной модели сторонняя космическая организация отвечает за запуск, перелёт и доставку, а автор проекта формулирует требования к приёмке, сборке, вводу в эксплуатацию, управлению и дальнейшей эксплуатации станции. Договоры должны отдельно распределить риск запуска, риск передачи груза, риск неправильной стыковки, дефекты доставленного оборудования, ошибки сборки, отказ после ввода в эксплуатацию, страхование, регресс и расследование происшествий. Передача объекта не прекращает обязанности по регистрации, радиочастотам, безопасности и международной отчётности. До заключения договоров и выбора государства регистрации эта матрица остаётся проектным требованием; для фактической эксплуатации потребуется отдельный допущенный оператор.</w:t>
      </w:r>
    </w:p>
    <w:p>
      <w:pPr>
        <w:pStyle w:val="Heading2"/>
        <w:keepNext/>
        <w:pageBreakBefore w:val="0"/>
        <w:spacing w:after="40"/>
      </w:pPr>
      <w:r>
        <w:rPr>
          <w:rFonts w:ascii="Times New Roman" w:hAnsi="Times New Roman" w:eastAsia="Times New Roman"/>
          <w:b/>
          <w:i w:val="0"/>
          <w:color w:val="2F5D83"/>
          <w:sz w:val="25"/>
        </w:rPr>
        <w:t>11.16. Консервация и завершение эксплуатации</w:t>
      </w:r>
    </w:p>
    <w:p>
      <w:pPr>
        <w:pageBreakBefore w:val="0"/>
        <w:spacing w:after="80" w:line="269" w:lineRule="auto"/>
        <w:ind w:firstLine="397"/>
        <w:jc w:val="both"/>
      </w:pPr>
      <w:r>
        <w:rPr>
          <w:rFonts w:ascii="Times New Roman" w:hAnsi="Times New Roman" w:eastAsia="Times New Roman"/>
          <w:b w:val="0"/>
          <w:i w:val="0"/>
          <w:color w:val="20252B"/>
          <w:sz w:val="20"/>
        </w:rPr>
        <w:t>Проекту нужен план окончания жизненного цикла. Он должен предусматривать временную консервацию, частичное расселение, передачу станции другому оператору, безопасное отключение реакторов и энергетических контуров, обращение с радиоактивными и биологическими отходами, защиту оставшихся жителей, демонтаж опасных систем и действия при окончательном отказе связи с Землёй. Нельзя считать станцию безопасно оставленной без определения ответственного оператора и государства, сохраняющего юрисдикцию. Срок службы в столетия требует периодической переаттестации, а не только единовременного ввода в эксплуатацию.</w:t>
      </w:r>
    </w:p>
    <w:p>
      <w:pPr>
        <w:pStyle w:val="Heading1"/>
        <w:keepNext/>
        <w:pageBreakBefore w:val="0"/>
        <w:spacing w:after="40"/>
        <w:jc w:val="left"/>
      </w:pPr>
      <w:r>
        <w:rPr>
          <w:rFonts w:ascii="Times New Roman" w:hAnsi="Times New Roman" w:eastAsia="Times New Roman"/>
          <w:b/>
          <w:i w:val="0"/>
          <w:color w:val="1F3A5F"/>
          <w:sz w:val="30"/>
        </w:rPr>
        <w:t>12. ВНУТРЕННЯЯ СРЕДА: ТРАНСПОРТ, УРБАНИСТИКА, ИНЖЕНЕРНЫЕ СЕТИ</w:t>
      </w:r>
    </w:p>
    <w:p>
      <w:pPr>
        <w:pageBreakBefore w:val="0"/>
        <w:spacing w:after="80" w:line="269" w:lineRule="auto"/>
        <w:ind w:firstLine="397"/>
        <w:jc w:val="both"/>
      </w:pPr>
      <w:r>
        <w:rPr>
          <w:rFonts w:ascii="Times New Roman" w:hAnsi="Times New Roman" w:eastAsia="Times New Roman"/>
          <w:b w:val="0"/>
          <w:i w:val="0"/>
          <w:color w:val="20252B"/>
          <w:sz w:val="20"/>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pStyle w:val="Heading2"/>
        <w:keepNext/>
        <w:pageBreakBefore w:val="0"/>
        <w:spacing w:after="40"/>
        <w:jc w:val="left"/>
      </w:pPr>
      <w:r>
        <w:rPr>
          <w:rFonts w:ascii="Times New Roman" w:hAnsi="Times New Roman" w:eastAsia="Times New Roman"/>
          <w:b/>
          <w:i w:val="0"/>
          <w:color w:val="2F5D83"/>
          <w:sz w:val="25"/>
        </w:rPr>
        <w:t>12.1. Геометрия перемещений</w:t>
      </w:r>
    </w:p>
    <w:p>
      <w:pPr>
        <w:pageBreakBefore w:val="0"/>
        <w:spacing w:after="80" w:line="269" w:lineRule="auto"/>
        <w:ind w:firstLine="397"/>
        <w:jc w:val="both"/>
      </w:pPr>
      <w:r>
        <w:rPr>
          <w:rFonts w:ascii="Times New Roman" w:hAnsi="Times New Roman" w:eastAsia="Times New Roman"/>
          <w:b w:val="0"/>
          <w:i w:val="0"/>
          <w:color w:val="20252B"/>
          <w:sz w:val="20"/>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pageBreakBefore w:val="0"/>
        <w:spacing w:after="80" w:line="269" w:lineRule="auto"/>
        <w:ind w:firstLine="397"/>
        <w:jc w:val="both"/>
      </w:pPr>
      <w:r>
        <w:rPr>
          <w:rFonts w:ascii="Times New Roman" w:hAnsi="Times New Roman" w:eastAsia="Times New Roman"/>
          <w:b w:val="0"/>
          <w:i w:val="0"/>
          <w:color w:val="20252B"/>
          <w:sz w:val="20"/>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pStyle w:val="Heading2"/>
        <w:keepNext/>
        <w:pageBreakBefore w:val="0"/>
        <w:spacing w:after="40"/>
        <w:jc w:val="left"/>
      </w:pPr>
      <w:r>
        <w:rPr>
          <w:rFonts w:ascii="Times New Roman" w:hAnsi="Times New Roman" w:eastAsia="Times New Roman"/>
          <w:b/>
          <w:i w:val="0"/>
          <w:color w:val="2F5D83"/>
          <w:sz w:val="25"/>
        </w:rPr>
        <w:t>12.2. Влияние вращения на движение: почему направления неравны</w:t>
      </w:r>
    </w:p>
    <w:p>
      <w:pPr>
        <w:pageBreakBefore w:val="0"/>
        <w:spacing w:after="80" w:line="269" w:lineRule="auto"/>
        <w:ind w:firstLine="397"/>
        <w:jc w:val="both"/>
      </w:pPr>
      <w:r>
        <w:rPr>
          <w:rFonts w:ascii="Times New Roman" w:hAnsi="Times New Roman" w:eastAsia="Times New Roman"/>
          <w:b w:val="0"/>
          <w:i w:val="0"/>
          <w:color w:val="20252B"/>
          <w:sz w:val="20"/>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pageBreakBefore w:val="0"/>
        <w:spacing w:after="80" w:line="269" w:lineRule="auto"/>
        <w:ind w:firstLine="397"/>
        <w:jc w:val="both"/>
      </w:pPr>
      <w:r>
        <w:rPr>
          <w:rFonts w:ascii="Times New Roman" w:hAnsi="Times New Roman" w:eastAsia="Times New Roman"/>
          <w:b w:val="0"/>
          <w:i w:val="0"/>
          <w:color w:val="20252B"/>
          <w:sz w:val="20"/>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pageBreakBefore w:val="0"/>
        <w:spacing w:after="80" w:line="269" w:lineRule="auto"/>
        <w:ind w:firstLine="397"/>
        <w:jc w:val="both"/>
      </w:pPr>
      <w:r>
        <w:rPr>
          <w:rFonts w:ascii="Times New Roman" w:hAnsi="Times New Roman" w:eastAsia="Times New Roman"/>
          <w:b w:val="0"/>
          <w:i w:val="0"/>
          <w:color w:val="20252B"/>
          <w:sz w:val="20"/>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pStyle w:val="Heading2"/>
        <w:keepNext/>
        <w:pageBreakBefore w:val="0"/>
        <w:spacing w:after="40"/>
        <w:jc w:val="left"/>
      </w:pPr>
      <w:r>
        <w:rPr>
          <w:rFonts w:ascii="Times New Roman" w:hAnsi="Times New Roman" w:eastAsia="Times New Roman"/>
          <w:b/>
          <w:i w:val="0"/>
          <w:color w:val="2F5D83"/>
          <w:sz w:val="25"/>
        </w:rPr>
        <w:t>12.3. Схема пассажирского сообщения</w:t>
      </w:r>
    </w:p>
    <w:p>
      <w:pPr>
        <w:pageBreakBefore w:val="0"/>
        <w:spacing w:after="80" w:line="269" w:lineRule="auto"/>
        <w:ind w:firstLine="397"/>
        <w:jc w:val="both"/>
      </w:pPr>
      <w:r>
        <w:rPr>
          <w:rFonts w:ascii="Times New Roman" w:hAnsi="Times New Roman" w:eastAsia="Times New Roman"/>
          <w:b w:val="0"/>
          <w:i w:val="0"/>
          <w:color w:val="20252B"/>
          <w:sz w:val="20"/>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pageBreakBefore w:val="0"/>
        <w:spacing w:after="80" w:line="269" w:lineRule="auto"/>
        <w:ind w:firstLine="397"/>
        <w:jc w:val="both"/>
      </w:pPr>
      <w:r>
        <w:rPr>
          <w:rFonts w:ascii="Times New Roman" w:hAnsi="Times New Roman" w:eastAsia="Times New Roman"/>
          <w:b w:val="0"/>
          <w:i w:val="0"/>
          <w:color w:val="20252B"/>
          <w:sz w:val="20"/>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pageBreakBefore w:val="0"/>
        <w:spacing w:after="80" w:line="269" w:lineRule="auto"/>
        <w:ind w:firstLine="397"/>
        <w:jc w:val="both"/>
      </w:pPr>
      <w:r>
        <w:rPr>
          <w:rFonts w:ascii="Times New Roman" w:hAnsi="Times New Roman" w:eastAsia="Times New Roman"/>
          <w:b w:val="0"/>
          <w:i w:val="0"/>
          <w:color w:val="20252B"/>
          <w:sz w:val="20"/>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pageBreakBefore w:val="0"/>
        <w:spacing w:after="80" w:line="269" w:lineRule="auto"/>
        <w:ind w:firstLine="397"/>
        <w:jc w:val="both"/>
      </w:pPr>
      <w:r>
        <w:rPr>
          <w:rFonts w:ascii="Times New Roman" w:hAnsi="Times New Roman" w:eastAsia="Times New Roman"/>
          <w:b w:val="0"/>
          <w:i w:val="0"/>
          <w:color w:val="20252B"/>
          <w:sz w:val="20"/>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pageBreakBefore w:val="0"/>
        <w:spacing w:after="80" w:line="269" w:lineRule="auto"/>
        <w:ind w:firstLine="397"/>
        <w:jc w:val="both"/>
      </w:pPr>
      <w:r>
        <w:rPr>
          <w:rFonts w:ascii="Times New Roman" w:hAnsi="Times New Roman" w:eastAsia="Times New Roman"/>
          <w:b w:val="0"/>
          <w:i w:val="0"/>
          <w:color w:val="20252B"/>
          <w:sz w:val="20"/>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pStyle w:val="Heading2"/>
        <w:keepNext/>
        <w:pageBreakBefore w:val="0"/>
        <w:spacing w:after="40"/>
        <w:jc w:val="left"/>
      </w:pPr>
      <w:r>
        <w:rPr>
          <w:rFonts w:ascii="Times New Roman" w:hAnsi="Times New Roman" w:eastAsia="Times New Roman"/>
          <w:b/>
          <w:i w:val="0"/>
          <w:color w:val="2F5D83"/>
          <w:sz w:val="25"/>
        </w:rPr>
        <w:t>12.4. Грузовое сообщение</w:t>
      </w:r>
    </w:p>
    <w:p>
      <w:pPr>
        <w:pageBreakBefore w:val="0"/>
        <w:spacing w:after="80" w:line="269" w:lineRule="auto"/>
        <w:ind w:firstLine="397"/>
        <w:jc w:val="both"/>
      </w:pPr>
      <w:r>
        <w:rPr>
          <w:rFonts w:ascii="Times New Roman" w:hAnsi="Times New Roman" w:eastAsia="Times New Roman"/>
          <w:b w:val="0"/>
          <w:i w:val="0"/>
          <w:color w:val="20252B"/>
          <w:sz w:val="20"/>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pageBreakBefore w:val="0"/>
        <w:spacing w:after="80" w:line="269" w:lineRule="auto"/>
        <w:ind w:firstLine="397"/>
        <w:jc w:val="both"/>
      </w:pPr>
      <w:r>
        <w:rPr>
          <w:rFonts w:ascii="Times New Roman" w:hAnsi="Times New Roman" w:eastAsia="Times New Roman"/>
          <w:b w:val="0"/>
          <w:i w:val="0"/>
          <w:color w:val="20252B"/>
          <w:sz w:val="20"/>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pageBreakBefore w:val="0"/>
        <w:spacing w:after="80" w:line="269" w:lineRule="auto"/>
        <w:ind w:firstLine="397"/>
        <w:jc w:val="both"/>
      </w:pPr>
      <w:r>
        <w:rPr>
          <w:rFonts w:ascii="Times New Roman" w:hAnsi="Times New Roman"/>
        </w:rPr>
        <w:t>Сообщение с внешним миром идёт через один из двух коридоров — А или Б — в переднем торцевом куполе (п. 4.7.4, Б.17) и является единственным входом в цилиндр; каждый коридор имеет отдельные каналы вверх и вниз, а внутренняя сеть примыкает к их двум жилым вестибюлям пересадочными узлами.</w:t>
      </w:r>
    </w:p>
    <w:p>
      <w:pPr>
        <w:pStyle w:val="Heading2"/>
        <w:keepNext/>
        <w:pageBreakBefore w:val="0"/>
        <w:spacing w:after="40"/>
        <w:jc w:val="left"/>
      </w:pPr>
      <w:r>
        <w:rPr>
          <w:rFonts w:ascii="Times New Roman" w:hAnsi="Times New Roman" w:eastAsia="Times New Roman"/>
          <w:b/>
          <w:i w:val="0"/>
          <w:color w:val="2F5D83"/>
          <w:sz w:val="25"/>
        </w:rPr>
        <w:t>12.5. Урбанистика: деление обитаемой поверхности</w:t>
      </w:r>
    </w:p>
    <w:p>
      <w:pPr>
        <w:pageBreakBefore w:val="0"/>
        <w:spacing w:after="80" w:line="269" w:lineRule="auto"/>
        <w:ind w:firstLine="397"/>
        <w:jc w:val="both"/>
      </w:pPr>
      <w:r>
        <w:rPr>
          <w:rFonts w:ascii="Times New Roman" w:hAnsi="Times New Roman" w:eastAsia="Times New Roman"/>
          <w:b w:val="0"/>
          <w:i w:val="0"/>
          <w:color w:val="20252B"/>
          <w:sz w:val="20"/>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pageBreakBefore w:val="0"/>
        <w:spacing w:after="80" w:line="269" w:lineRule="auto"/>
        <w:ind w:firstLine="397"/>
        <w:jc w:val="both"/>
      </w:pPr>
      <w:r>
        <w:rPr>
          <w:rFonts w:ascii="Times New Roman" w:hAnsi="Times New Roman" w:eastAsia="Times New Roman"/>
          <w:b w:val="0"/>
          <w:i w:val="0"/>
          <w:color w:val="20252B"/>
          <w:sz w:val="20"/>
        </w:rPr>
        <w:t>Расселение принимается не сплошным, а очаговым: на каждый цилиндр предусматривается 12 поселений по 40–45 тысяч жителей. Для генеральной карты вводится сетка из трёх продольных полос и четырёх азимутальных секторов. Предварительные координаты продольных полос — x = 5, 13 и 20 км от начала цилиндрической части; азимуты узлов — 0°, 90°, 180° и 270°. Все узлы находятся в климатических зонах I–II. На один узел приходится ориентировочно 15,75 км² застройки, 57,6 км² сельхозугодий, 20,9 км² леса и парков и 10,5 км² водоёмов и технических зон. Внутренняя сеть включает четыре продольные магистрали, девять кольцевых линий, грузовой обход и подземные инженерные коллекторы.</w:t>
      </w:r>
    </w:p>
    <w:p>
      <w:pPr>
        <w:pageBreakBefore w:val="0"/>
        <w:spacing w:after="80" w:line="269" w:lineRule="auto"/>
        <w:ind w:firstLine="397"/>
        <w:jc w:val="both"/>
      </w:pPr>
      <w:r>
        <w:rPr>
          <w:rFonts w:ascii="Times New Roman" w:hAnsi="Times New Roman" w:eastAsia="Times New Roman"/>
          <w:b w:val="0"/>
          <w:i w:val="0"/>
          <w:color w:val="20252B"/>
          <w:sz w:val="20"/>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pageBreakBefore w:val="0"/>
        <w:spacing w:after="80" w:line="269" w:lineRule="auto"/>
        <w:ind w:firstLine="397"/>
        <w:jc w:val="both"/>
      </w:pPr>
      <w:r>
        <w:rPr>
          <w:rFonts w:ascii="Times New Roman" w:hAnsi="Times New Roman" w:eastAsia="Times New Roman"/>
          <w:b w:val="0"/>
          <w:i w:val="0"/>
          <w:color w:val="20252B"/>
          <w:sz w:val="20"/>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pStyle w:val="Heading3"/>
        <w:keepNext/>
        <w:pageBreakBefore w:val="0"/>
        <w:spacing w:after="40"/>
        <w:jc w:val="left"/>
      </w:pPr>
      <w:r>
        <w:rPr>
          <w:rFonts w:ascii="Times New Roman" w:hAnsi="Times New Roman" w:eastAsia="Times New Roman"/>
          <w:b/>
          <w:i w:val="0"/>
          <w:color w:val="B56B3C"/>
          <w:sz w:val="22"/>
        </w:rPr>
        <w:t>12.5.1. Координатная база внутренней карты поселений</w:t>
      </w:r>
    </w:p>
    <w:p>
      <w:pPr>
        <w:pageBreakBefore w:val="0"/>
        <w:spacing w:after="80" w:line="269" w:lineRule="auto"/>
        <w:ind w:firstLine="397"/>
        <w:jc w:val="both"/>
      </w:pPr>
      <w:r>
        <w:rPr>
          <w:rFonts w:ascii="Times New Roman" w:hAnsi="Times New Roman" w:eastAsia="Times New Roman"/>
          <w:b w:val="0"/>
          <w:i w:val="0"/>
          <w:color w:val="20252B"/>
          <w:sz w:val="20"/>
        </w:rPr>
        <w:t>Для первого генерального плана каждый цилиндр делится на 12 городских узлов: три продольные полосы x = 5, 13 и 20 км и четыре азимутальных сектора φ = 0°, 90°, 180° и 270°. Узлы соединяются четырьмя продольными магистралями и девятью кольцевыми линиями с шагом около 5 км по оси. Внешний вход от коридоров А и Б соединяется с двумя передними пересадочными узлами; грузовой поток имеет отдельный обход.</w:t>
      </w:r>
    </w:p>
    <w:p>
      <w:pPr>
        <w:pageBreakBefore w:val="0"/>
        <w:spacing w:after="80" w:line="269" w:lineRule="auto"/>
        <w:ind w:firstLine="397"/>
        <w:jc w:val="both"/>
      </w:pPr>
      <w:r>
        <w:rPr>
          <w:rFonts w:ascii="Times New Roman" w:hAnsi="Times New Roman" w:eastAsia="Times New Roman"/>
          <w:b w:val="0"/>
          <w:i w:val="0"/>
          <w:color w:val="20252B"/>
          <w:sz w:val="20"/>
        </w:rPr>
        <w:t>Площадь одного узла в первом приближении: 15,75 км² застройки, 57,6 км² сельхозугодий, 20,9 км² леса и парков и 10,5 км² водоёмов и технических зон. Это зонировочная карта, а не окончательная планировка отдельных зданий; точная трассировка сетей и границ кварталов остаётся следующим этапом.</w:t>
      </w:r>
    </w:p>
    <w:p>
      <w:pPr>
        <w:pStyle w:val="Heading2"/>
        <w:keepNext/>
        <w:pageBreakBefore w:val="0"/>
        <w:spacing w:after="40"/>
        <w:jc w:val="left"/>
      </w:pPr>
      <w:r>
        <w:rPr>
          <w:rFonts w:ascii="Times New Roman" w:hAnsi="Times New Roman" w:eastAsia="Times New Roman"/>
          <w:b/>
          <w:i w:val="0"/>
          <w:color w:val="2F5D83"/>
          <w:sz w:val="25"/>
        </w:rPr>
        <w:t>12.6. Водоснабжение и канализация</w:t>
      </w:r>
    </w:p>
    <w:p>
      <w:pPr>
        <w:pageBreakBefore w:val="0"/>
        <w:spacing w:after="80" w:line="269" w:lineRule="auto"/>
        <w:ind w:firstLine="397"/>
        <w:jc w:val="both"/>
      </w:pPr>
      <w:r>
        <w:rPr>
          <w:rFonts w:ascii="Times New Roman" w:hAnsi="Times New Roman" w:eastAsia="Times New Roman"/>
          <w:b w:val="0"/>
          <w:i w:val="0"/>
          <w:color w:val="20252B"/>
          <w:sz w:val="20"/>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pageBreakBefore w:val="0"/>
        <w:spacing w:after="80" w:line="269" w:lineRule="auto"/>
        <w:ind w:firstLine="397"/>
        <w:jc w:val="both"/>
      </w:pPr>
      <w:r>
        <w:rPr>
          <w:rFonts w:ascii="Times New Roman" w:hAnsi="Times New Roman" w:eastAsia="Times New Roman"/>
          <w:b w:val="0"/>
          <w:i w:val="0"/>
          <w:color w:val="20252B"/>
          <w:sz w:val="20"/>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pageBreakBefore w:val="0"/>
        <w:spacing w:after="80" w:line="269" w:lineRule="auto"/>
        <w:ind w:firstLine="397"/>
        <w:jc w:val="both"/>
      </w:pPr>
      <w:r>
        <w:rPr>
          <w:rFonts w:ascii="Times New Roman" w:hAnsi="Times New Roman" w:eastAsia="Times New Roman"/>
          <w:b w:val="0"/>
          <w:i w:val="0"/>
          <w:color w:val="20252B"/>
          <w:sz w:val="20"/>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по принятой компоновке водоёмов.</w:t>
      </w:r>
    </w:p>
    <w:p>
      <w:pPr>
        <w:pStyle w:val="Heading2"/>
        <w:keepNext/>
        <w:pageBreakBefore w:val="0"/>
        <w:spacing w:after="40"/>
        <w:jc w:val="left"/>
      </w:pPr>
      <w:r>
        <w:rPr>
          <w:rFonts w:ascii="Times New Roman" w:hAnsi="Times New Roman" w:eastAsia="Times New Roman"/>
          <w:b/>
          <w:i w:val="0"/>
          <w:color w:val="2F5D83"/>
          <w:sz w:val="25"/>
        </w:rPr>
        <w:t>12.7. Электроснабжение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pageBreakBefore w:val="0"/>
        <w:spacing w:after="80" w:line="269" w:lineRule="auto"/>
        <w:ind w:firstLine="397"/>
        <w:jc w:val="both"/>
      </w:pPr>
      <w:r>
        <w:rPr>
          <w:rFonts w:ascii="Times New Roman" w:hAnsi="Times New Roman" w:eastAsia="Times New Roman"/>
          <w:b w:val="0"/>
          <w:i w:val="0"/>
          <w:color w:val="20252B"/>
          <w:sz w:val="20"/>
        </w:rPr>
        <w:t>Передача внутрь цилиндра ведётся от реакторных установок на неподвижной задней раме по двум независимым силовым вводам к неподвижному статору подшипникового узла. Через герметичный вращающийся токопереход или бесконтактную индуктивную муфту питание поступает на внутренние распределительные шины цилиндра; отдельные вводы питают два независимых магнитных контура, мотор-генераторы, датчики, насосы гермоперехода, четыре транспортных канала и их аварийные системы. Предварительная квота энергобаланса на подшипниковые узлы, приводы и силовую электронику — 2 ГВт; источник — реакторная шина, а не солнечные крылья.</w:t>
      </w:r>
    </w:p>
    <w:p>
      <w:pPr>
        <w:pageBreakBefore w:val="0"/>
        <w:spacing w:after="80" w:line="269" w:lineRule="auto"/>
        <w:ind w:firstLine="397"/>
        <w:jc w:val="both"/>
      </w:pPr>
      <w:r>
        <w:rPr>
          <w:rFonts w:ascii="Times New Roman" w:hAnsi="Times New Roman" w:eastAsia="Times New Roman"/>
          <w:b w:val="0"/>
          <w:i w:val="0"/>
          <w:color w:val="20252B"/>
          <w:sz w:val="20"/>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pStyle w:val="Heading2"/>
        <w:keepNext/>
        <w:pageBreakBefore w:val="0"/>
        <w:spacing w:after="40"/>
        <w:jc w:val="left"/>
      </w:pPr>
      <w:r>
        <w:rPr>
          <w:rFonts w:ascii="Times New Roman" w:hAnsi="Times New Roman" w:eastAsia="Times New Roman"/>
          <w:b/>
          <w:i w:val="0"/>
          <w:color w:val="2F5D83"/>
          <w:sz w:val="25"/>
        </w:rPr>
        <w:t>12.8. Экология замкнутого объёма</w:t>
      </w:r>
    </w:p>
    <w:p>
      <w:pPr>
        <w:pageBreakBefore w:val="0"/>
        <w:spacing w:after="80" w:line="269" w:lineRule="auto"/>
        <w:ind w:firstLine="397"/>
        <w:jc w:val="both"/>
      </w:pPr>
      <w:r>
        <w:rPr>
          <w:rFonts w:ascii="Times New Roman" w:hAnsi="Times New Roman" w:eastAsia="Times New Roman"/>
          <w:b w:val="0"/>
          <w:i w:val="0"/>
          <w:color w:val="20252B"/>
          <w:sz w:val="20"/>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pageBreakBefore w:val="0"/>
        <w:spacing w:after="80" w:line="269" w:lineRule="auto"/>
        <w:ind w:firstLine="397"/>
        <w:jc w:val="both"/>
      </w:pPr>
      <w:r>
        <w:rPr>
          <w:rFonts w:ascii="Times New Roman" w:hAnsi="Times New Roman" w:eastAsia="Times New Roman"/>
          <w:b w:val="0"/>
          <w:i w:val="0"/>
          <w:color w:val="20252B"/>
          <w:sz w:val="20"/>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pageBreakBefore w:val="0"/>
        <w:spacing w:after="80" w:line="269" w:lineRule="auto"/>
        <w:ind w:firstLine="397"/>
        <w:jc w:val="both"/>
      </w:pPr>
      <w:r>
        <w:rPr>
          <w:rFonts w:ascii="Times New Roman" w:hAnsi="Times New Roman" w:eastAsia="Times New Roman"/>
          <w:b w:val="0"/>
          <w:i w:val="0"/>
          <w:color w:val="20252B"/>
          <w:sz w:val="20"/>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pageBreakBefore w:val="0"/>
        <w:spacing w:after="80" w:line="269" w:lineRule="auto"/>
        <w:ind w:firstLine="397"/>
        <w:jc w:val="both"/>
      </w:pPr>
      <w:r>
        <w:rPr>
          <w:rFonts w:ascii="Times New Roman" w:hAnsi="Times New Roman" w:eastAsia="Times New Roman"/>
          <w:b w:val="0"/>
          <w:i w:val="0"/>
          <w:color w:val="20252B"/>
          <w:sz w:val="20"/>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Видовой состав и численность почвенной биоты ещё не рассчитаны; это открытая задача.</w:t>
      </w:r>
    </w:p>
    <w:p>
      <w:pPr>
        <w:pStyle w:val="Heading1"/>
        <w:keepNext/>
        <w:pageBreakBefore w:val="0"/>
        <w:spacing w:after="40"/>
        <w:jc w:val="left"/>
      </w:pPr>
      <w:r>
        <w:rPr>
          <w:rFonts w:ascii="Times New Roman" w:hAnsi="Times New Roman" w:eastAsia="Times New Roman"/>
          <w:b/>
          <w:i w:val="0"/>
          <w:color w:val="1F3A5F"/>
          <w:sz w:val="30"/>
        </w:rPr>
        <w:t>13. ПРАВОВЫЕ ОСНОВЫ ПРОГРАММЫ</w:t>
      </w:r>
    </w:p>
    <w:p>
      <w:pPr>
        <w:pageBreakBefore w:val="0"/>
        <w:spacing w:after="80" w:line="269" w:lineRule="auto"/>
        <w:ind w:firstLine="397"/>
        <w:jc w:val="both"/>
      </w:pPr>
      <w:r>
        <w:rPr>
          <w:rFonts w:ascii="Times New Roman" w:hAnsi="Times New Roman" w:eastAsia="Times New Roman"/>
          <w:b w:val="0"/>
          <w:i w:val="0"/>
          <w:color w:val="20252B"/>
          <w:sz w:val="20"/>
        </w:rPr>
        <w:t>Правовая глава отвечает на три вопроса: по каким законам живут люди внутри цилиндра; может ли станция получить статус государства; как оформляется правомерность переработки космических ресурсов для нужд программы. Изложение основано на действующем международном и российском праве по состоянию на 2026 год. Глава не является юридическим заключением и не заменяет его; она очерчивает правовую рамку, в которой инженерный проект может существовать.</w:t>
      </w:r>
    </w:p>
    <w:p>
      <w:pPr>
        <w:pStyle w:val="Heading2"/>
        <w:keepNext/>
        <w:pageBreakBefore w:val="0"/>
        <w:spacing w:after="40"/>
        <w:jc w:val="left"/>
      </w:pPr>
      <w:r>
        <w:rPr>
          <w:rFonts w:ascii="Times New Roman" w:hAnsi="Times New Roman" w:eastAsia="Times New Roman"/>
          <w:b/>
          <w:i w:val="0"/>
          <w:color w:val="2F5D83"/>
          <w:sz w:val="25"/>
        </w:rPr>
        <w:t>13.1. Что говорит действующее право</w:t>
      </w:r>
    </w:p>
    <w:p>
      <w:pPr>
        <w:pageBreakBefore w:val="0"/>
        <w:spacing w:after="80" w:line="269" w:lineRule="auto"/>
        <w:ind w:firstLine="397"/>
        <w:jc w:val="both"/>
      </w:pPr>
      <w:r>
        <w:rPr>
          <w:rFonts w:ascii="Times New Roman" w:hAnsi="Times New Roman" w:eastAsia="Times New Roman"/>
          <w:b w:val="0"/>
          <w:i w:val="0"/>
          <w:color w:val="20252B"/>
          <w:sz w:val="20"/>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pageBreakBefore w:val="0"/>
        <w:spacing w:after="80" w:line="269" w:lineRule="auto"/>
        <w:ind w:firstLine="397"/>
        <w:jc w:val="both"/>
      </w:pPr>
      <w:r>
        <w:rPr>
          <w:rFonts w:ascii="Times New Roman" w:hAnsi="Times New Roman" w:eastAsia="Times New Roman"/>
          <w:b w:val="0"/>
          <w:i w:val="0"/>
          <w:color w:val="20252B"/>
          <w:sz w:val="20"/>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pageBreakBefore w:val="0"/>
        <w:spacing w:after="80" w:line="269" w:lineRule="auto"/>
        <w:ind w:firstLine="397"/>
        <w:jc w:val="both"/>
      </w:pPr>
      <w:r>
        <w:rPr>
          <w:rFonts w:ascii="Times New Roman" w:hAnsi="Times New Roman" w:eastAsia="Times New Roman"/>
          <w:b w:val="0"/>
          <w:i w:val="0"/>
          <w:color w:val="20252B"/>
          <w:sz w:val="20"/>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pageBreakBefore w:val="0"/>
        <w:spacing w:after="80" w:line="269" w:lineRule="auto"/>
        <w:ind w:firstLine="397"/>
        <w:jc w:val="both"/>
      </w:pPr>
      <w:r>
        <w:rPr>
          <w:rFonts w:ascii="Times New Roman" w:hAnsi="Times New Roman" w:eastAsia="Times New Roman"/>
          <w:b w:val="0"/>
          <w:i w:val="0"/>
          <w:color w:val="20252B"/>
          <w:sz w:val="20"/>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pStyle w:val="Heading2"/>
        <w:keepNext/>
        <w:pageBreakBefore w:val="0"/>
        <w:spacing w:after="40"/>
        <w:jc w:val="left"/>
      </w:pPr>
      <w:r>
        <w:rPr>
          <w:rFonts w:ascii="Times New Roman" w:hAnsi="Times New Roman" w:eastAsia="Times New Roman"/>
          <w:b/>
          <w:i w:val="0"/>
          <w:color w:val="2F5D83"/>
          <w:sz w:val="25"/>
        </w:rPr>
        <w:t>13.2. По каким законам живут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До договорного перехода жители живут по праву государства регистрации и локальным нормативным актам оператора. По мере создания органов автономии локальное право преобразуется в право Солнечноградской федерации, согласованное с международными обязательствами и договорами с государством регистрации. Земные кодексы не применяются автоматически после перехода: они действуют только в пределах прямой рецепции или договора.</w:t>
      </w:r>
    </w:p>
    <w:p>
      <w:pPr>
        <w:pageBreakBefore w:val="0"/>
        <w:spacing w:after="80" w:line="269" w:lineRule="auto"/>
        <w:ind w:firstLine="397"/>
        <w:jc w:val="both"/>
      </w:pPr>
      <w:r>
        <w:rPr>
          <w:rFonts w:ascii="Times New Roman" w:hAnsi="Times New Roman" w:eastAsia="Times New Roman"/>
          <w:b w:val="0"/>
          <w:i w:val="0"/>
          <w:color w:val="20252B"/>
          <w:sz w:val="20"/>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pageBreakBefore w:val="0"/>
        <w:spacing w:after="80" w:line="269" w:lineRule="auto"/>
        <w:ind w:firstLine="397"/>
        <w:jc w:val="both"/>
      </w:pPr>
      <w:r>
        <w:rPr>
          <w:rFonts w:ascii="Times New Roman" w:hAnsi="Times New Roman" w:eastAsia="Times New Roman"/>
          <w:b w:val="0"/>
          <w:i w:val="0"/>
          <w:color w:val="20252B"/>
          <w:sz w:val="20"/>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pStyle w:val="Heading2"/>
        <w:keepNext/>
        <w:pageBreakBefore w:val="0"/>
        <w:spacing w:after="40"/>
        <w:jc w:val="left"/>
      </w:pPr>
      <w:r>
        <w:rPr>
          <w:rFonts w:ascii="Times New Roman" w:hAnsi="Times New Roman" w:eastAsia="Times New Roman"/>
          <w:b/>
          <w:i w:val="0"/>
          <w:color w:val="2F5D83"/>
          <w:sz w:val="25"/>
        </w:rPr>
        <w:t>13.3. Можно ли объявить станцию государством</w:t>
      </w:r>
    </w:p>
    <w:p>
      <w:pPr>
        <w:pageBreakBefore w:val="0"/>
        <w:spacing w:after="80" w:line="269" w:lineRule="auto"/>
        <w:ind w:firstLine="397"/>
        <w:jc w:val="both"/>
      </w:pPr>
      <w:r>
        <w:rPr>
          <w:rFonts w:ascii="Times New Roman" w:hAnsi="Times New Roman" w:eastAsia="Times New Roman"/>
          <w:b w:val="0"/>
          <w:i w:val="0"/>
          <w:color w:val="20252B"/>
          <w:sz w:val="20"/>
        </w:rPr>
        <w:t>Одностороннее провозглашение не создаёт государство автоматически. Даже если станцию доставит сторонняя космическая организация по отдельному договору с автором проекта, это означает разделение ролей подрядчика и будущего оператора, а не приобретение территории. Статья II Договора о космосе запрещает присвоение космического пространства и небесных тел путём провозглашения суверенитета, использования, оккупации или иными средствами; отсутствие собственника астероида не является разрешением объявить его территорией. Станция сохраняет статус зарегистрированного космического объекта, а юрисдикция и контроль государства регистрации по статье VIII и ответственность государства за национальную деятельность по статье VI сохраняются. Долгосрочная цель проекта состоит поэтому не в декларации без оснований, а в договорном переходе к государственности после формирования постоянного населения, органов власти, собственной правовой системы и способности выполнять внешние обязательства.</w:t>
      </w:r>
    </w:p>
    <w:p>
      <w:pPr>
        <w:pageBreakBefore w:val="0"/>
        <w:spacing w:after="80" w:line="269" w:lineRule="auto"/>
        <w:ind w:firstLine="397"/>
        <w:jc w:val="both"/>
      </w:pPr>
      <w:r>
        <w:rPr>
          <w:rFonts w:ascii="Times New Roman" w:hAnsi="Times New Roman" w:eastAsia="Times New Roman"/>
          <w:b w:val="0"/>
          <w:i w:val="0"/>
          <w:color w:val="20252B"/>
          <w:sz w:val="20"/>
        </w:rPr>
        <w:t>Попытка провозгласить независимость без договора с государством регистрации, без согласования юрисдикции и без международного признания привела бы не к немедленному появлению государства, а к конфликту с действующими обязанностями по космическому объекту. Декларация может быть политическим заявлением, но сама по себе не отменяет статью II, регистрацию, лицензии, радиочастотные правила, ответственность и контроль государства регистрации. Поэтому переход должен быть поэтапным: операторская администрация, переходная автономия, конституционное самоуправление, затем заявление о государственности и запрос признания.</w:t>
      </w:r>
    </w:p>
    <w:p>
      <w:pPr>
        <w:pageBreakBefore w:val="0"/>
        <w:spacing w:after="80" w:line="269" w:lineRule="auto"/>
        <w:ind w:firstLine="397"/>
        <w:jc w:val="both"/>
      </w:pPr>
      <w:r>
        <w:rPr>
          <w:rFonts w:ascii="Times New Roman" w:hAnsi="Times New Roman" w:eastAsia="Times New Roman"/>
          <w:b w:val="0"/>
          <w:i w:val="0"/>
          <w:color w:val="20252B"/>
          <w:sz w:val="20"/>
        </w:rPr>
        <w:t>Практическая форма на ранних этапах — международный консорциум с государством регистрации и договорной юрисдикцией. Целевая форма после переходного периода — Солнечноградская федерация как отдельное государство с полным внутренним суверенитетом. Собственный суверенитет относится к управлению станцией, её жителями, инфраструктурой и внутренними системами; он не означает присвоения космического пространства или астероидов.</w:t>
      </w:r>
    </w:p>
    <w:p>
      <w:pPr>
        <w:pStyle w:val="Heading2"/>
        <w:keepNext/>
        <w:pageBreakBefore w:val="0"/>
        <w:spacing w:after="40"/>
        <w:jc w:val="left"/>
      </w:pPr>
      <w:r>
        <w:rPr>
          <w:rFonts w:ascii="Times New Roman" w:hAnsi="Times New Roman" w:eastAsia="Times New Roman"/>
          <w:b/>
          <w:i w:val="0"/>
          <w:color w:val="2F5D83"/>
          <w:sz w:val="25"/>
        </w:rPr>
        <w:t>13.4. Космические ресурсы: как объявить их переработку</w:t>
      </w:r>
    </w:p>
    <w:p>
      <w:pPr>
        <w:pageBreakBefore w:val="0"/>
        <w:spacing w:after="80" w:line="269" w:lineRule="auto"/>
        <w:ind w:firstLine="397"/>
        <w:jc w:val="both"/>
      </w:pPr>
      <w:r>
        <w:rPr>
          <w:rFonts w:ascii="Times New Roman" w:hAnsi="Times New Roman" w:eastAsia="Times New Roman"/>
          <w:b w:val="0"/>
          <w:i w:val="0"/>
          <w:color w:val="20252B"/>
          <w:sz w:val="20"/>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pageBreakBefore w:val="0"/>
        <w:spacing w:after="80" w:line="269" w:lineRule="auto"/>
        <w:ind w:firstLine="397"/>
        <w:jc w:val="both"/>
      </w:pPr>
      <w:r>
        <w:rPr>
          <w:rFonts w:ascii="Times New Roman" w:hAnsi="Times New Roman" w:eastAsia="Times New Roman"/>
          <w:b w:val="0"/>
          <w:i w:val="0"/>
          <w:color w:val="20252B"/>
          <w:sz w:val="20"/>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pageBreakBefore w:val="0"/>
        <w:spacing w:after="80" w:line="269" w:lineRule="auto"/>
        <w:ind w:firstLine="397"/>
        <w:jc w:val="both"/>
      </w:pPr>
      <w:r>
        <w:rPr>
          <w:rFonts w:ascii="Times New Roman" w:hAnsi="Times New Roman" w:eastAsia="Times New Roman"/>
          <w:b w:val="0"/>
          <w:i w:val="0"/>
          <w:color w:val="20252B"/>
          <w:sz w:val="20"/>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pageBreakBefore w:val="0"/>
        <w:spacing w:after="80" w:line="269" w:lineRule="auto"/>
        <w:ind w:firstLine="397"/>
        <w:jc w:val="both"/>
      </w:pPr>
      <w:r>
        <w:rPr>
          <w:rFonts w:ascii="Times New Roman" w:hAnsi="Times New Roman" w:eastAsia="Times New Roman"/>
          <w:b w:val="0"/>
          <w:i w:val="0"/>
          <w:color w:val="20252B"/>
          <w:sz w:val="20"/>
        </w:rPr>
        <w:t>Что из этого следует для личного проекта.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связанных шагов: разрешение и надзор государства или государств, подпадающих под юрисдикцию запуска и регистрации; регистрация объекта; и правовое обоснование использования ресурсов. Автор проекта на личной стадии не является оператором космической деятельности. Запуск и доставку выполняет сторонняя космическая организация, а сборка и эксплуатация требуют отдельного юридического лица или иного допущенного оператора. Российская регистрация автора как физического лица не заменяет отдельную регистрацию самой станции как космического объекта и не отменяет согласование государства регистрации с государствами запуска.</w:t>
      </w:r>
    </w:p>
    <w:p>
      <w:pPr>
        <w:pageBreakBefore w:val="0"/>
        <w:spacing w:after="80" w:line="269" w:lineRule="auto"/>
        <w:ind w:firstLine="397"/>
        <w:jc w:val="both"/>
      </w:pPr>
      <w:r>
        <w:rPr>
          <w:rFonts w:ascii="Times New Roman" w:hAnsi="Times New Roman" w:eastAsia="Times New Roman"/>
          <w:b w:val="0"/>
          <w:i w:val="0"/>
          <w:color w:val="20252B"/>
          <w:sz w:val="20"/>
        </w:rPr>
        <w:t>Первый: лицензия нужна не для «владения астероидом» и не доказывает право собственности на него. Она требуется потому, что запуск, доставка, сборка и эксплуатация космического объекта, управление им, работа радиосредств, ядерных или иных энергетических установок, а также распределение ответственности, страхование, экспортный контроль и аварийный надзор относятся к космической деятельности, которая по статье VI должна осуществляться с разрешения и под постоянным наблюдением соответствующего государства. Автор проекта как физическое лицо не может заменить лицензируемого оператора. До начала сборки должен быть выбран или создан оператор — юридическое лицо, соответствующее лицензионным требованиям и оформляющее российскую лицензию либо иные разрешения по Закону Российской Федерации «О космической деятельности» от 20 августа 1993 года № 5663-I и применимым правилам лицензирования. Сторонняя космическая организация получает отдельные разрешения на запуск и доставку в применимой юрисдикции. Если используются радиоизотопные, ядерные или иные опасные энергетические установки, для них требуются дополнительные специальные разрешения и надзор. Договоры могут распределить расходы и возмещение убытков, но не отменяют международной ответственности соответствующих государств. Сам астероид при этом не становится чьей-либо территорией.</w:t>
      </w:r>
    </w:p>
    <w:p>
      <w:pPr>
        <w:pageBreakBefore w:val="0"/>
        <w:spacing w:after="80" w:line="269" w:lineRule="auto"/>
        <w:ind w:firstLine="397"/>
        <w:jc w:val="both"/>
      </w:pPr>
      <w:r>
        <w:rPr>
          <w:rFonts w:ascii="Times New Roman" w:hAnsi="Times New Roman" w:eastAsia="Times New Roman"/>
          <w:b w:val="0"/>
          <w:i w:val="0"/>
          <w:color w:val="20252B"/>
          <w:sz w:val="20"/>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Российская регистрация автора как физического лица сама по себе не является регистрацией станции. Оператор и государство регистрации станции должны быть отдельно определены с учётом государств запуска, организации, которая заказывает или обеспечивает запуск, территории или объекта запуска, а также соглашений между участниками. После такого определения именно государство регистрации получает юрисдикцию и контроль по статье VIII, а выбранный оператор действует под разрешением и надзором соответствующей российской стороны и в пределах согласованной международной схемы.</w:t>
      </w:r>
    </w:p>
    <w:p>
      <w:pPr>
        <w:pageBreakBefore w:val="0"/>
        <w:spacing w:after="80" w:line="269" w:lineRule="auto"/>
        <w:ind w:firstLine="397"/>
        <w:jc w:val="both"/>
      </w:pPr>
      <w:r>
        <w:rPr>
          <w:rFonts w:ascii="Times New Roman" w:hAnsi="Times New Roman" w:eastAsia="Times New Roman"/>
          <w:b w:val="0"/>
          <w:i w:val="0"/>
          <w:color w:val="20252B"/>
          <w:sz w:val="20"/>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pageBreakBefore w:val="0"/>
        <w:spacing w:after="80" w:line="269" w:lineRule="auto"/>
        <w:ind w:firstLine="397"/>
        <w:jc w:val="both"/>
      </w:pPr>
      <w:r>
        <w:rPr>
          <w:rFonts w:ascii="Times New Roman" w:hAnsi="Times New Roman" w:eastAsia="Times New Roman"/>
          <w:b w:val="0"/>
          <w:i w:val="0"/>
          <w:color w:val="20252B"/>
          <w:sz w:val="20"/>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pStyle w:val="Heading2"/>
        <w:keepNext/>
        <w:pageBreakBefore w:val="0"/>
        <w:spacing w:after="40"/>
        <w:jc w:val="left"/>
      </w:pPr>
      <w:r>
        <w:rPr>
          <w:rFonts w:ascii="Times New Roman" w:hAnsi="Times New Roman" w:eastAsia="Times New Roman"/>
          <w:b/>
          <w:i w:val="0"/>
          <w:color w:val="2F5D83"/>
          <w:sz w:val="25"/>
        </w:rPr>
        <w:t>13.5. Правовое положение руководителя проекта</w:t>
      </w:r>
    </w:p>
    <w:p>
      <w:pPr>
        <w:pageBreakBefore w:val="0"/>
        <w:spacing w:after="80" w:line="269" w:lineRule="auto"/>
        <w:ind w:firstLine="397"/>
        <w:jc w:val="both"/>
      </w:pPr>
      <w:r>
        <w:rPr>
          <w:rFonts w:ascii="Times New Roman" w:hAnsi="Times New Roman" w:eastAsia="Times New Roman"/>
          <w:b w:val="0"/>
          <w:i w:val="0"/>
          <w:color w:val="20252B"/>
          <w:sz w:val="20"/>
        </w:rPr>
        <w:t>Раздел отвечает на прямой вопрос Романа Сергеевича Бугаенко, гражданина Российской Федерации, которому семнадцать лет. Ответ даётся по действующему российскому законодательству.</w:t>
      </w:r>
    </w:p>
    <w:p>
      <w:pPr>
        <w:pageBreakBefore w:val="0"/>
        <w:spacing w:after="80" w:line="269" w:lineRule="auto"/>
        <w:ind w:firstLine="397"/>
        <w:jc w:val="both"/>
      </w:pPr>
      <w:r>
        <w:rPr>
          <w:rFonts w:ascii="Times New Roman" w:hAnsi="Times New Roman" w:eastAsia="Times New Roman"/>
          <w:b w:val="0"/>
          <w:i w:val="0"/>
          <w:color w:val="20252B"/>
          <w:sz w:val="20"/>
        </w:rPr>
        <w:t>В российском правовом поле лицензия на космическую деятельность выдаётся только юридическим лицам; физическое лицо соискателем быть не может независимо от возраста. Автор проекта участвует как физическое лицо и не является самостоятельным оператором космического объекта. До сборки и эксплуатации необходимо создать или выбрать российское операторское юридическое лицо либо иного допущенного оператора, привести его структуру, специалистов, помещения, оборудование и заявленные работы в соответствие с лицензионными требованиями и оформить необходимые разрешения. До этого личный проект остаётся инженерной разработкой, а не космической деятельностью в смысле закона. Это организационное действие не означает приобретения суверенитета над станцией или астероидом.</w:t>
      </w:r>
    </w:p>
    <w:p>
      <w:pPr>
        <w:pageBreakBefore w:val="0"/>
        <w:spacing w:after="80" w:line="269" w:lineRule="auto"/>
        <w:ind w:firstLine="397"/>
        <w:jc w:val="both"/>
      </w:pPr>
      <w:r>
        <w:rPr>
          <w:rFonts w:ascii="Times New Roman" w:hAnsi="Times New Roman" w:eastAsia="Times New Roman"/>
          <w:b w:val="0"/>
          <w:i w:val="0"/>
          <w:color w:val="20252B"/>
          <w:sz w:val="20"/>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защищён с момента создания, лицензия Proprietary Source-Visible License v1.0 действует с 17.08.2026 бессрочно.</w:t>
      </w:r>
    </w:p>
    <w:p>
      <w:pPr>
        <w:pageBreakBefore w:val="0"/>
        <w:spacing w:after="80" w:line="269" w:lineRule="auto"/>
        <w:ind w:firstLine="397"/>
        <w:jc w:val="both"/>
      </w:pPr>
      <w:r>
        <w:rPr>
          <w:rFonts w:ascii="Times New Roman" w:hAnsi="Times New Roman" w:eastAsia="Times New Roman"/>
          <w:b w:val="0"/>
          <w:i w:val="0"/>
          <w:color w:val="20252B"/>
          <w:sz w:val="20"/>
        </w:rPr>
        <w:t>Практический вывод. Ближайшие правовые действия, доступные уже сейчас: фиксация авторства,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pStyle w:val="Heading2"/>
        <w:keepNext/>
        <w:pageBreakBefore w:val="0"/>
        <w:spacing w:after="40"/>
        <w:jc w:val="left"/>
      </w:pPr>
      <w:r>
        <w:rPr>
          <w:rFonts w:ascii="Times New Roman" w:hAnsi="Times New Roman" w:eastAsia="Times New Roman"/>
          <w:b/>
          <w:i w:val="0"/>
          <w:color w:val="2F5D83"/>
          <w:sz w:val="25"/>
        </w:rPr>
        <w:t>13.6. Целевая модель государственности Солнечноградской федерации</w:t>
      </w:r>
    </w:p>
    <w:p>
      <w:pPr>
        <w:pageBreakBefore w:val="0"/>
        <w:spacing w:after="80" w:line="269" w:lineRule="auto"/>
        <w:ind w:firstLine="397"/>
        <w:jc w:val="both"/>
      </w:pPr>
      <w:r>
        <w:rPr>
          <w:rFonts w:ascii="Times New Roman" w:hAnsi="Times New Roman" w:eastAsia="Times New Roman"/>
          <w:b w:val="0"/>
          <w:i w:val="0"/>
          <w:color w:val="20252B"/>
          <w:sz w:val="20"/>
        </w:rPr>
        <w:t>Солнечноградская федерация проектируется как отдельное государство с полным внутренним суверенитетом. Это целевая политико-правовая модель, а не односторонняя декларация и не юридическое заключение. Полный внутренний суверенитет означает собственные конституцию, каталог основных прав, законодательную, исполнительную и судебную ветви власти, бюджет, налоги, режим безопасности, гражданскую оборону и аварийное управление. Суверенитет относится к станции, её жителям, инфраструктуре и внутренним системам; космическое пространство и астероиды не объявляются территорией или собственностью Солнечноградской федерации.</w:t>
      </w:r>
    </w:p>
    <w:p>
      <w:pPr>
        <w:pageBreakBefore w:val="0"/>
        <w:spacing w:after="80" w:line="269" w:lineRule="auto"/>
        <w:ind w:firstLine="397"/>
        <w:jc w:val="both"/>
      </w:pPr>
      <w:r>
        <w:rPr>
          <w:rFonts w:ascii="Times New Roman" w:hAnsi="Times New Roman" w:eastAsia="Times New Roman"/>
          <w:b w:val="0"/>
          <w:i w:val="0"/>
          <w:color w:val="20252B"/>
          <w:sz w:val="20"/>
        </w:rPr>
        <w:t>Для создания государства на станции одной декларации независимости недостаточно. В традиционной международно-правовой модели учитываются постоянное население, определённая территория, эффективное правительство и способность вступать в отношения с другими государствами. Эти признаки служат ориентиром, но не превращают политическое заявление в государственность автоматически и не отменяют действующие договоры.</w:t>
      </w:r>
    </w:p>
    <w:p>
      <w:pPr>
        <w:pageBreakBefore w:val="0"/>
        <w:spacing w:after="80" w:line="269" w:lineRule="auto"/>
        <w:ind w:firstLine="397"/>
        <w:jc w:val="both"/>
      </w:pPr>
      <w:r>
        <w:rPr>
          <w:rFonts w:ascii="Times New Roman" w:hAnsi="Times New Roman" w:eastAsia="Times New Roman"/>
          <w:b w:val="0"/>
          <w:i w:val="0"/>
          <w:color w:val="20252B"/>
          <w:sz w:val="20"/>
        </w:rPr>
        <w:t>Особенность станции состоит в территориальном критерии. Станция может быть точно определённым космическим объектом, иметь собственные границы доступа, органы управления и внутреннюю юрисдикцию, но астероид и космическая среда не становятся территорией Солнечноградской федерации. Статья II Договора о космосе запрещает национальное присвоение небесных тел посредством провозглашения суверенитета, использования, оккупации или иными средствами. Поэтому автор проекта и будущая федерация не могут своим решением превратить астероид в государственную территорию или автоматически приобрести на него право собственности.</w:t>
      </w:r>
    </w:p>
    <w:p>
      <w:pPr>
        <w:pageBreakBefore w:val="0"/>
        <w:spacing w:after="80" w:line="269" w:lineRule="auto"/>
        <w:ind w:firstLine="397"/>
        <w:jc w:val="both"/>
      </w:pPr>
      <w:r>
        <w:rPr>
          <w:rFonts w:ascii="Times New Roman" w:hAnsi="Times New Roman" w:eastAsia="Times New Roman"/>
          <w:b w:val="0"/>
          <w:i w:val="0"/>
          <w:color w:val="20252B"/>
          <w:sz w:val="20"/>
        </w:rPr>
        <w:t>Минимальный правовой пакет для перехода от станции к государству включает: зарегистрированного оператора проекта; постоянное население; временную хартию, а затем конституцию; выборные органы; независимый суд; правила гражданства и натурализации; устойчивый бюджет и систему безопасности; договор с государством регистрации о переходной автономии; отдельные соглашения о юрисдикции, регистрации космического объекта, гражданстве, спасении, торговле, связи и международной ответственности; способность заключать внешние договоры и выполнять их.</w:t>
      </w:r>
    </w:p>
    <w:p>
      <w:pPr>
        <w:pageBreakBefore w:val="0"/>
        <w:spacing w:after="80" w:line="269" w:lineRule="auto"/>
        <w:ind w:firstLine="397"/>
        <w:jc w:val="both"/>
      </w:pPr>
      <w:r>
        <w:rPr>
          <w:rFonts w:ascii="Times New Roman" w:hAnsi="Times New Roman" w:eastAsia="Times New Roman"/>
          <w:b w:val="0"/>
          <w:i w:val="0"/>
          <w:color w:val="20252B"/>
          <w:sz w:val="20"/>
        </w:rPr>
        <w:t>Практическая последовательность такова. Сначала автор проекта действует как физическое лицо, а будущий оператор станции получает необходимые разрешения и действует по правилам государства регистрации. Затем создаётся договорная автономия с собственными органами самоуправления. После формирования постоянного населения и устойчивой конституционной системы стороны могут согласовать изменение или передачу части юрисдикции. Только после такого соглашения возможны заявление о государственности, запрос международного признания и, при наличии политической поддержки, обращение за членством в международных организациях. До передачи юрисдикции «Солнечноградская федерация» является целевой политико-правовой моделью или договорной автономией, а не односторонне возникшим государством.</w:t>
      </w:r>
    </w:p>
    <w:p>
      <w:pPr>
        <w:pStyle w:val="Heading2"/>
        <w:keepNext/>
        <w:pageBreakBefore w:val="0"/>
        <w:spacing w:after="40"/>
        <w:jc w:val="left"/>
      </w:pPr>
      <w:r>
        <w:rPr>
          <w:rFonts w:ascii="Times New Roman" w:hAnsi="Times New Roman" w:eastAsia="Times New Roman"/>
          <w:b/>
          <w:i w:val="0"/>
          <w:color w:val="2F5D83"/>
          <w:sz w:val="25"/>
        </w:rPr>
        <w:t>13.7. Двойной контур гражданства</w:t>
      </w:r>
    </w:p>
    <w:p>
      <w:pPr>
        <w:pageBreakBefore w:val="0"/>
        <w:spacing w:after="80" w:line="269" w:lineRule="auto"/>
        <w:ind w:firstLine="397"/>
        <w:jc w:val="both"/>
      </w:pPr>
      <w:r>
        <w:rPr>
          <w:rFonts w:ascii="Times New Roman" w:hAnsi="Times New Roman" w:eastAsia="Times New Roman"/>
          <w:b w:val="0"/>
          <w:i w:val="0"/>
          <w:color w:val="20252B"/>
          <w:sz w:val="20"/>
        </w:rPr>
        <w:t>Гражданство Солнечноградской федерации является самостоятельным политико-правовым статусом и не требует автоматического отказа от исходного гражданства Земли. Постоянный житель получает путь к натурализации через срок проживания, знание конституции и правил станции, гражданскую присягу и проверку дееспособности. Происхождение, рождение и семейная связь могут давать упрощённую регистрацию; произвольное лишение гражданства запрещается, а выход возможен при наличии другого правового статуса. Автоматическое гражданство по рождению, минимальный срок натурализации и статус детей смешанных семей устанавливаются будущей конституцией.</w:t>
      </w:r>
    </w:p>
    <w:p>
      <w:pPr>
        <w:pStyle w:val="Heading2"/>
        <w:keepNext/>
        <w:pageBreakBefore w:val="0"/>
        <w:spacing w:after="40"/>
        <w:jc w:val="left"/>
      </w:pPr>
      <w:r>
        <w:rPr>
          <w:rFonts w:ascii="Times New Roman" w:hAnsi="Times New Roman" w:eastAsia="Times New Roman"/>
          <w:b/>
          <w:i w:val="0"/>
          <w:color w:val="2F5D83"/>
          <w:sz w:val="25"/>
        </w:rPr>
        <w:t>13.8. Гибридная правовая система</w:t>
      </w:r>
    </w:p>
    <w:p>
      <w:pPr>
        <w:pageBreakBefore w:val="0"/>
        <w:spacing w:after="80" w:line="269" w:lineRule="auto"/>
        <w:ind w:firstLine="397"/>
        <w:jc w:val="both"/>
      </w:pPr>
      <w:r>
        <w:rPr>
          <w:rFonts w:ascii="Times New Roman" w:hAnsi="Times New Roman" w:eastAsia="Times New Roman"/>
          <w:b w:val="0"/>
          <w:i w:val="0"/>
          <w:color w:val="20252B"/>
          <w:sz w:val="20"/>
        </w:rPr>
        <w:t>Основой становится собственная конституция Солнечноградской федерации, согласованная с обязательными нормами международного права. Собственное право регулирует жизнедеятельность замкнутой станции, труд, жильё, медицину, образование, социальные гарантии, распределение ресурсов, налоги, промышленность, безопасность, выборы, чрезвычайное положение и суды. Земные кодексы не применяются автоматически: они действуют только если включены в право Солнечноградской федерации законом о рецепции или международным договором. Обязательны независимый суд, судебный пересмотр администрации, омбудсмен, прозрачный бюджет, право на адвоката, запрет коллективной ответственности и ограниченное по сроку чрезвычайное положение.</w:t>
      </w:r>
    </w:p>
    <w:p>
      <w:pPr>
        <w:pStyle w:val="Heading2"/>
        <w:keepNext/>
        <w:pageBreakBefore w:val="0"/>
        <w:spacing w:after="40"/>
        <w:jc w:val="left"/>
      </w:pPr>
      <w:r>
        <w:rPr>
          <w:rFonts w:ascii="Times New Roman" w:hAnsi="Times New Roman" w:eastAsia="Times New Roman"/>
          <w:b/>
          <w:i w:val="0"/>
          <w:color w:val="2F5D83"/>
          <w:sz w:val="25"/>
        </w:rPr>
        <w:t>13.9. Договорный путь к признанию</w:t>
      </w:r>
    </w:p>
    <w:p>
      <w:pPr>
        <w:pageBreakBefore w:val="0"/>
        <w:spacing w:after="80" w:line="269" w:lineRule="auto"/>
        <w:ind w:firstLine="397"/>
        <w:jc w:val="both"/>
      </w:pPr>
      <w:r>
        <w:rPr>
          <w:rFonts w:ascii="Times New Roman" w:hAnsi="Times New Roman" w:eastAsia="Times New Roman"/>
          <w:b w:val="0"/>
          <w:i w:val="0"/>
          <w:color w:val="20252B"/>
          <w:sz w:val="20"/>
        </w:rPr>
        <w:t>Переход выполняется поэтапно: соглашение о переходной автономии с государством или коалицией, отвечающей за запуск и регистрацию; временная хартия и перепись постоянного населения; создание выборных органов; конституционное собрание и принятие конституции; двусторонние соглашения о юрисдикции, гражданстве, спасении, торговле, обороне, связи и ответственности за космический объект; согласование государства регистрации и возможной передачи или изменения юрисдикции; затем заявление о государственности и запрос международного признания. До отдельного соглашения о передаче юрисдикции станция сохраняет договорную связь с государством регистрации, а космическая среда и астероид не объявляются территорией федерации.</w:t>
      </w:r>
    </w:p>
    <w:p>
      <w:pPr>
        <w:pStyle w:val="Heading2"/>
        <w:keepNext/>
        <w:pageBreakBefore w:val="0"/>
        <w:spacing w:after="40"/>
        <w:jc w:val="left"/>
      </w:pPr>
      <w:r>
        <w:rPr>
          <w:rFonts w:ascii="Times New Roman" w:hAnsi="Times New Roman" w:eastAsia="Times New Roman"/>
          <w:b/>
          <w:i w:val="0"/>
          <w:color w:val="2F5D83"/>
          <w:sz w:val="25"/>
        </w:rPr>
        <w:t>13.10. Переходные этапы управления</w:t>
      </w:r>
    </w:p>
    <w:p>
      <w:pPr>
        <w:pageBreakBefore w:val="0"/>
        <w:spacing w:after="80" w:line="269" w:lineRule="auto"/>
        <w:ind w:firstLine="397"/>
        <w:jc w:val="both"/>
      </w:pPr>
      <w:r>
        <w:rPr>
          <w:rFonts w:ascii="Times New Roman" w:hAnsi="Times New Roman" w:eastAsia="Times New Roman"/>
          <w:b w:val="0"/>
          <w:i w:val="0"/>
          <w:color w:val="20252B"/>
          <w:sz w:val="20"/>
        </w:rPr>
        <w:t>Этап I — операторская администрация с хартией прав жителей. Этап II — автономия с избираемым советом, исполнительной администрацией, судом или трибуналом и независимым инспектором безопасности. Этап III — конституционное государство с постоянными органами власти и договорным процессом признания. Этап IV — признанное государство, самостоятельно ведущее внешние отношения в пределах действующих договоров и несущее международную ответственность.</w:t>
      </w:r>
    </w:p>
    <w:p>
      <w:pPr>
        <w:pStyle w:val="Heading2"/>
        <w:keepNext/>
        <w:pageBreakBefore w:val="0"/>
        <w:spacing w:after="40"/>
        <w:jc w:val="left"/>
      </w:pPr>
      <w:r>
        <w:rPr>
          <w:rFonts w:ascii="Times New Roman" w:hAnsi="Times New Roman" w:eastAsia="Times New Roman"/>
          <w:b/>
          <w:i w:val="0"/>
          <w:color w:val="2F5D83"/>
          <w:sz w:val="25"/>
        </w:rPr>
        <w:t>13.11. Открытые правовые вопросы</w:t>
      </w:r>
    </w:p>
    <w:p>
      <w:pPr>
        <w:pageBreakBefore w:val="0"/>
        <w:spacing w:after="80" w:line="269" w:lineRule="auto"/>
        <w:ind w:firstLine="397"/>
        <w:jc w:val="both"/>
      </w:pPr>
      <w:r>
        <w:rPr>
          <w:rFonts w:ascii="Times New Roman" w:hAnsi="Times New Roman" w:eastAsia="Times New Roman"/>
          <w:b w:val="0"/>
          <w:i w:val="0"/>
          <w:color w:val="20252B"/>
          <w:sz w:val="20"/>
        </w:rPr>
        <w:t>Нерешёнными остаются государство регистрации и распределение юрисдикции, валюта и налоговая база, собственность на инфраструктуру, оборона и пределы вооружённой силы, уголовная юрисдикция над иностранцами, трудовое, семейное и наследственное право, миграция и карантин, передача власти в аварийном режиме, допустимые формы экономики и внешний контроль безопасности. Международное признание остаётся политическим решением других государств и не гарантируется одним выполнением формальных критериев.</w:t>
      </w:r>
    </w:p>
    <w:p>
      <w:pPr>
        <w:pStyle w:val="Heading1"/>
        <w:keepNext/>
        <w:pageBreakBefore w:val="0"/>
        <w:spacing w:after="40"/>
        <w:jc w:val="left"/>
      </w:pPr>
      <w:r>
        <w:rPr>
          <w:rFonts w:ascii="Times New Roman" w:hAnsi="Times New Roman" w:eastAsia="Times New Roman"/>
          <w:b/>
          <w:i w:val="0"/>
          <w:color w:val="1F3A5F"/>
          <w:sz w:val="30"/>
        </w:rPr>
        <w:t>14. АВАРИЙНЫЕ РЕЖИМЫ, РЕСУРС КОНСТРУКЦИИ И ПОРЯДОК ПОСТРОЙКИ</w:t>
      </w:r>
    </w:p>
    <w:p>
      <w:pPr>
        <w:pageBreakBefore w:val="0"/>
        <w:spacing w:after="80" w:line="269" w:lineRule="auto"/>
        <w:ind w:firstLine="397"/>
        <w:jc w:val="both"/>
      </w:pPr>
      <w:r>
        <w:rPr>
          <w:rFonts w:ascii="Times New Roman" w:hAnsi="Times New Roman" w:eastAsia="Times New Roman"/>
          <w:b w:val="0"/>
          <w:i w:val="0"/>
          <w:color w:val="20252B"/>
          <w:sz w:val="20"/>
        </w:rPr>
        <w:t>Глава описывает аварийные режимы, ресурс конструкции и порядок постройки. Большая масса и объём станции увеличивают время развития многих аварийных процессов, но не отменяют требований к резервированию, мониторингу и испытаниям.</w:t>
      </w:r>
    </w:p>
    <w:p>
      <w:pPr>
        <w:pageBreakBefore w:val="0"/>
        <w:spacing w:after="80" w:line="269" w:lineRule="auto"/>
        <w:ind w:firstLine="397"/>
        <w:jc w:val="both"/>
      </w:pPr>
      <w:r>
        <w:rPr>
          <w:rFonts w:ascii="Times New Roman" w:hAnsi="Times New Roman" w:eastAsia="Times New Roman"/>
          <w:b w:val="0"/>
          <w:i w:val="0"/>
          <w:color w:val="20252B"/>
          <w:sz w:val="20"/>
        </w:rPr>
        <w:t>Обязательное правило опережающего предупреждения. Перед любым автоматическим закрытием или отключением, а также перед любым автоматическим открытием или включением любого объекта система обязана подать аудиопредупреждение. Если рядом с объектом имеется рабочий экран, одновременно обязательно выводится видеопредупреждение. Предупреждение должно быть подано до начала действия и назвать объект, выполняемое действие, причину и момент его выполнения: «Объект … будет закрыт/открыт/включён/отключён по причине … время выполнения …». Автоматика не считается начавшей действие до завершения этого сообщения; правило распространяется на двери, шлюзы, клапаны, питание, освещение, насосы, транспортные и иные исполнительные механизмы.</w:t>
      </w:r>
    </w:p>
    <w:p>
      <w:pPr>
        <w:pStyle w:val="Heading2"/>
        <w:keepNext/>
        <w:pageBreakBefore w:val="0"/>
        <w:spacing w:after="40"/>
        <w:jc w:val="left"/>
      </w:pPr>
      <w:r>
        <w:rPr>
          <w:rFonts w:ascii="Times New Roman" w:hAnsi="Times New Roman" w:eastAsia="Times New Roman"/>
          <w:b/>
          <w:i w:val="0"/>
          <w:color w:val="2F5D83"/>
          <w:sz w:val="25"/>
        </w:rPr>
        <w:t>14.1. Разгерметизация</w:t>
      </w:r>
    </w:p>
    <w:p>
      <w:pPr>
        <w:pageBreakBefore w:val="0"/>
        <w:spacing w:after="80" w:line="269" w:lineRule="auto"/>
        <w:ind w:firstLine="397"/>
        <w:jc w:val="both"/>
      </w:pPr>
      <w:r>
        <w:rPr>
          <w:rFonts w:ascii="Times New Roman" w:hAnsi="Times New Roman" w:eastAsia="Times New Roman"/>
          <w:b w:val="0"/>
          <w:i w:val="0"/>
          <w:color w:val="20252B"/>
          <w:sz w:val="20"/>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pageBreakBefore w:val="0"/>
        <w:spacing w:after="80" w:line="269" w:lineRule="auto"/>
        <w:ind w:firstLine="397"/>
        <w:jc w:val="both"/>
      </w:pPr>
      <w:r>
        <w:rPr>
          <w:rFonts w:ascii="Times New Roman" w:hAnsi="Times New Roman" w:eastAsia="Times New Roman"/>
          <w:b w:val="0"/>
          <w:i w:val="0"/>
          <w:color w:val="20252B"/>
          <w:sz w:val="20"/>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pageBreakBefore w:val="0"/>
        <w:spacing w:after="80" w:line="269" w:lineRule="auto"/>
        <w:ind w:firstLine="397"/>
        <w:jc w:val="both"/>
      </w:pPr>
      <w:r>
        <w:rPr>
          <w:rFonts w:ascii="Times New Roman" w:hAnsi="Times New Roman" w:eastAsia="Times New Roman"/>
          <w:b w:val="0"/>
          <w:i w:val="0"/>
          <w:color w:val="20252B"/>
          <w:sz w:val="20"/>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pageBreakBefore w:val="0"/>
        <w:spacing w:after="80" w:line="269" w:lineRule="auto"/>
        <w:ind w:firstLine="397"/>
        <w:jc w:val="both"/>
      </w:pPr>
      <w:r>
        <w:rPr>
          <w:rFonts w:ascii="Times New Roman" w:hAnsi="Times New Roman" w:eastAsia="Times New Roman"/>
          <w:b w:val="0"/>
          <w:i w:val="0"/>
          <w:color w:val="20252B"/>
          <w:sz w:val="20"/>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pStyle w:val="Heading2"/>
        <w:keepNext/>
        <w:pageBreakBefore w:val="0"/>
        <w:spacing w:after="40"/>
        <w:jc w:val="left"/>
      </w:pPr>
      <w:r>
        <w:rPr>
          <w:rFonts w:ascii="Times New Roman" w:hAnsi="Times New Roman" w:eastAsia="Times New Roman"/>
          <w:b/>
          <w:i w:val="0"/>
          <w:color w:val="2F5D83"/>
          <w:sz w:val="25"/>
        </w:rPr>
        <w:t>14.2. Отказ энергоснабжения</w:t>
      </w:r>
    </w:p>
    <w:p>
      <w:pPr>
        <w:pageBreakBefore w:val="0"/>
        <w:spacing w:after="80" w:line="269" w:lineRule="auto"/>
        <w:ind w:firstLine="397"/>
        <w:jc w:val="both"/>
      </w:pPr>
      <w:r>
        <w:rPr>
          <w:rFonts w:ascii="Times New Roman" w:hAnsi="Times New Roman" w:eastAsia="Times New Roman"/>
          <w:b w:val="0"/>
          <w:i w:val="0"/>
          <w:color w:val="20252B"/>
          <w:sz w:val="20"/>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pageBreakBefore w:val="0"/>
        <w:spacing w:after="80" w:line="269" w:lineRule="auto"/>
        <w:ind w:firstLine="397"/>
        <w:jc w:val="both"/>
      </w:pPr>
      <w:r>
        <w:rPr>
          <w:rFonts w:ascii="Times New Roman" w:hAnsi="Times New Roman" w:eastAsia="Times New Roman"/>
          <w:b w:val="0"/>
          <w:i w:val="0"/>
          <w:color w:val="20252B"/>
          <w:sz w:val="20"/>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pStyle w:val="Heading2"/>
        <w:keepNext/>
        <w:pageBreakBefore w:val="0"/>
        <w:spacing w:after="40"/>
        <w:jc w:val="left"/>
      </w:pPr>
      <w:r>
        <w:rPr>
          <w:rFonts w:ascii="Times New Roman" w:hAnsi="Times New Roman" w:eastAsia="Times New Roman"/>
          <w:b/>
          <w:i w:val="0"/>
          <w:color w:val="2F5D83"/>
          <w:sz w:val="25"/>
        </w:rPr>
        <w:t>14.3. Ресурс конструкции: коррозия и усталость</w:t>
      </w:r>
    </w:p>
    <w:p>
      <w:pPr>
        <w:pageBreakBefore w:val="0"/>
        <w:spacing w:after="80" w:line="269" w:lineRule="auto"/>
        <w:ind w:firstLine="397"/>
        <w:jc w:val="both"/>
      </w:pPr>
      <w:r>
        <w:rPr>
          <w:rFonts w:ascii="Times New Roman" w:hAnsi="Times New Roman" w:eastAsia="Times New Roman"/>
          <w:b w:val="0"/>
          <w:i w:val="0"/>
          <w:color w:val="20252B"/>
          <w:sz w:val="20"/>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pageBreakBefore w:val="0"/>
        <w:spacing w:after="80" w:line="269" w:lineRule="auto"/>
        <w:ind w:firstLine="397"/>
        <w:jc w:val="both"/>
      </w:pPr>
      <w:r>
        <w:rPr>
          <w:rFonts w:ascii="Times New Roman" w:hAnsi="Times New Roman" w:eastAsia="Times New Roman"/>
          <w:b w:val="0"/>
          <w:i w:val="0"/>
          <w:color w:val="20252B"/>
          <w:sz w:val="20"/>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pStyle w:val="Heading2"/>
        <w:keepNext/>
        <w:pageBreakBefore w:val="0"/>
        <w:spacing w:after="40"/>
        <w:jc w:val="left"/>
      </w:pPr>
      <w:r>
        <w:rPr>
          <w:rFonts w:ascii="Times New Roman" w:hAnsi="Times New Roman" w:eastAsia="Times New Roman"/>
          <w:b/>
          <w:i w:val="0"/>
          <w:color w:val="2F5D83"/>
          <w:sz w:val="25"/>
        </w:rPr>
        <w:t>14.4. Вибрации и резонансы оболочки</w:t>
      </w:r>
    </w:p>
    <w:p>
      <w:pPr>
        <w:pageBreakBefore w:val="0"/>
        <w:spacing w:after="80" w:line="269" w:lineRule="auto"/>
        <w:ind w:firstLine="397"/>
        <w:jc w:val="both"/>
      </w:pPr>
      <w:r>
        <w:rPr>
          <w:rFonts w:ascii="Times New Roman" w:hAnsi="Times New Roman" w:eastAsia="Times New Roman"/>
          <w:b w:val="0"/>
          <w:i w:val="0"/>
          <w:color w:val="20252B"/>
          <w:sz w:val="20"/>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pageBreakBefore w:val="0"/>
        <w:spacing w:after="80" w:line="269" w:lineRule="auto"/>
        <w:ind w:firstLine="397"/>
        <w:jc w:val="both"/>
      </w:pPr>
      <w:r>
        <w:rPr>
          <w:rFonts w:ascii="Times New Roman" w:hAnsi="Times New Roman" w:eastAsia="Times New Roman"/>
          <w:b w:val="0"/>
          <w:i w:val="0"/>
          <w:color w:val="20252B"/>
          <w:sz w:val="20"/>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pStyle w:val="Heading2"/>
        <w:keepNext/>
        <w:pageBreakBefore w:val="0"/>
        <w:spacing w:after="40"/>
        <w:jc w:val="left"/>
      </w:pPr>
      <w:r>
        <w:rPr>
          <w:rFonts w:ascii="Times New Roman" w:hAnsi="Times New Roman" w:eastAsia="Times New Roman"/>
          <w:b/>
          <w:i w:val="0"/>
          <w:color w:val="2F5D83"/>
          <w:sz w:val="25"/>
        </w:rPr>
        <w:t>14.5. Порядок постройки</w:t>
      </w:r>
    </w:p>
    <w:p>
      <w:pPr>
        <w:pageBreakBefore w:val="0"/>
        <w:spacing w:after="80" w:line="269" w:lineRule="auto"/>
        <w:ind w:firstLine="397"/>
        <w:jc w:val="both"/>
      </w:pPr>
      <w:r>
        <w:rPr>
          <w:rFonts w:ascii="Times New Roman" w:hAnsi="Times New Roman" w:eastAsia="Times New Roman"/>
          <w:b w:val="0"/>
          <w:i w:val="0"/>
          <w:color w:val="20252B"/>
          <w:sz w:val="20"/>
        </w:rPr>
        <w:t>Очерёдность работ определяется тем, что цилиндр нельзя заселить частично: обитаемый объём герметичен и неделим. Последовательность работ такова.</w:t>
      </w:r>
    </w:p>
    <w:p>
      <w:pPr>
        <w:pageBreakBefore w:val="0"/>
        <w:spacing w:after="80" w:line="269" w:lineRule="auto"/>
        <w:ind w:firstLine="397"/>
        <w:jc w:val="both"/>
      </w:pPr>
      <w:r>
        <w:rPr>
          <w:rFonts w:ascii="Times New Roman" w:hAnsi="Times New Roman" w:eastAsia="Times New Roman"/>
          <w:b w:val="0"/>
          <w:i w:val="0"/>
          <w:color w:val="20252B"/>
          <w:sz w:val="20"/>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pageBreakBefore w:val="0"/>
        <w:spacing w:after="80" w:line="269" w:lineRule="auto"/>
        <w:ind w:firstLine="397"/>
        <w:jc w:val="both"/>
      </w:pPr>
      <w:r>
        <w:rPr>
          <w:rFonts w:ascii="Times New Roman" w:hAnsi="Times New Roman" w:eastAsia="Times New Roman"/>
          <w:b w:val="0"/>
          <w:i w:val="0"/>
          <w:color w:val="20252B"/>
          <w:sz w:val="20"/>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pStyle w:val="Heading2"/>
        <w:keepNext/>
        <w:pageBreakBefore w:val="0"/>
        <w:spacing w:after="40"/>
        <w:jc w:val="left"/>
      </w:pPr>
      <w:r>
        <w:rPr>
          <w:rFonts w:ascii="Times New Roman" w:hAnsi="Times New Roman" w:eastAsia="Times New Roman"/>
          <w:b/>
          <w:i w:val="0"/>
          <w:color w:val="2F5D83"/>
          <w:sz w:val="25"/>
        </w:rPr>
        <w:t>14.6. Медицинское обеспечение</w:t>
      </w:r>
    </w:p>
    <w:p>
      <w:pPr>
        <w:pageBreakBefore w:val="0"/>
        <w:spacing w:after="80" w:line="269" w:lineRule="auto"/>
        <w:ind w:firstLine="397"/>
        <w:jc w:val="both"/>
      </w:pPr>
      <w:r>
        <w:rPr>
          <w:rFonts w:ascii="Times New Roman" w:hAnsi="Times New Roman" w:eastAsia="Times New Roman"/>
          <w:b w:val="0"/>
          <w:i w:val="0"/>
          <w:color w:val="20252B"/>
          <w:sz w:val="20"/>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pageBreakBefore w:val="0"/>
        <w:spacing w:after="80" w:line="269" w:lineRule="auto"/>
        <w:ind w:firstLine="397"/>
        <w:jc w:val="both"/>
      </w:pPr>
      <w:r>
        <w:rPr>
          <w:rFonts w:ascii="Times New Roman" w:hAnsi="Times New Roman" w:eastAsia="Times New Roman"/>
          <w:b w:val="0"/>
          <w:i w:val="0"/>
          <w:color w:val="20252B"/>
          <w:sz w:val="20"/>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Психологические последствия пока не рассчитаны и признаются отдельным открытым вопросом.</w:t>
      </w:r>
    </w:p>
    <w:p>
      <w:pPr>
        <w:pStyle w:val="Heading2"/>
        <w:keepNext/>
        <w:pageBreakBefore w:val="0"/>
        <w:spacing w:after="40"/>
        <w:jc w:val="left"/>
      </w:pPr>
      <w:r>
        <w:rPr>
          <w:rFonts w:ascii="Times New Roman" w:hAnsi="Times New Roman" w:eastAsia="Times New Roman"/>
          <w:b/>
          <w:i w:val="0"/>
          <w:color w:val="2F5D83"/>
          <w:sz w:val="25"/>
        </w:rPr>
        <w:t>14.7. Резервирование установок замыкания углеродного цикла</w:t>
      </w:r>
    </w:p>
    <w:p>
      <w:pPr>
        <w:pageBreakBefore w:val="0"/>
        <w:spacing w:after="80" w:line="269" w:lineRule="auto"/>
        <w:ind w:firstLine="397"/>
        <w:jc w:val="both"/>
      </w:pPr>
      <w:r>
        <w:rPr>
          <w:rFonts w:ascii="Times New Roman" w:hAnsi="Times New Roman" w:eastAsia="Times New Roman"/>
          <w:b w:val="0"/>
          <w:i w:val="0"/>
          <w:color w:val="20252B"/>
          <w:sz w:val="20"/>
        </w:rPr>
        <w:t>Установки переработки растительных остатков замыкают 73 % технического оборота углерода и относятся к системам первой категории наравне с энергетикой; их резервирование подлежит отдельному проектированию.</w:t>
      </w:r>
    </w:p>
    <w:p>
      <w:pPr>
        <w:pageBreakBefore w:val="0"/>
        <w:spacing w:after="80" w:line="269" w:lineRule="auto"/>
        <w:ind w:firstLine="397"/>
        <w:jc w:val="both"/>
      </w:pPr>
      <w:r>
        <w:rPr>
          <w:rFonts w:ascii="Times New Roman" w:hAnsi="Times New Roman" w:eastAsia="Times New Roman"/>
          <w:b w:val="0"/>
          <w:i w:val="0"/>
          <w:color w:val="20252B"/>
          <w:sz w:val="20"/>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pageBreakBefore w:val="0"/>
        <w:spacing w:after="80" w:line="269" w:lineRule="auto"/>
        <w:ind w:firstLine="397"/>
        <w:jc w:val="both"/>
      </w:pPr>
      <w:r>
        <w:rPr>
          <w:rFonts w:ascii="Times New Roman" w:hAnsi="Times New Roman" w:eastAsia="Times New Roman"/>
          <w:b w:val="0"/>
          <w:i w:val="0"/>
          <w:color w:val="20252B"/>
          <w:sz w:val="20"/>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pageBreakBefore w:val="0"/>
        <w:spacing w:after="80" w:line="269" w:lineRule="auto"/>
        <w:ind w:firstLine="397"/>
        <w:jc w:val="both"/>
      </w:pPr>
      <w:r>
        <w:rPr>
          <w:rFonts w:ascii="Times New Roman" w:hAnsi="Times New Roman" w:eastAsia="Times New Roman"/>
          <w:b w:val="0"/>
          <w:i w:val="0"/>
          <w:color w:val="20252B"/>
          <w:sz w:val="20"/>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pageBreakBefore w:val="0"/>
        <w:spacing w:after="80" w:line="269" w:lineRule="auto"/>
        <w:ind w:firstLine="397"/>
        <w:jc w:val="both"/>
      </w:pPr>
      <w:r>
        <w:rPr>
          <w:rFonts w:ascii="Times New Roman" w:hAnsi="Times New Roman" w:eastAsia="Times New Roman"/>
          <w:b w:val="0"/>
          <w:i w:val="0"/>
          <w:color w:val="20252B"/>
          <w:sz w:val="20"/>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pageBreakBefore w:val="0"/>
        <w:spacing w:after="80" w:line="269" w:lineRule="auto"/>
        <w:ind w:firstLine="397"/>
        <w:jc w:val="both"/>
      </w:pPr>
      <w:r>
        <w:rPr>
          <w:rFonts w:ascii="Times New Roman" w:hAnsi="Times New Roman" w:eastAsia="Times New Roman"/>
          <w:b w:val="0"/>
          <w:i w:val="0"/>
          <w:color w:val="20252B"/>
          <w:sz w:val="20"/>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pageBreakBefore w:val="0"/>
        <w:spacing w:after="80" w:line="269" w:lineRule="auto"/>
        <w:ind w:firstLine="397"/>
        <w:jc w:val="both"/>
      </w:pPr>
      <w:r>
        <w:rPr>
          <w:rFonts w:ascii="Times New Roman" w:hAnsi="Times New Roman" w:eastAsia="Times New Roman"/>
          <w:b w:val="0"/>
          <w:i w:val="0"/>
          <w:color w:val="20252B"/>
          <w:sz w:val="20"/>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pageBreakBefore w:val="0"/>
        <w:spacing w:after="80" w:line="269" w:lineRule="auto"/>
        <w:ind w:firstLine="397"/>
        <w:jc w:val="both"/>
      </w:pPr>
      <w:r>
        <w:rPr>
          <w:rFonts w:ascii="Times New Roman" w:hAnsi="Times New Roman" w:eastAsia="Times New Roman"/>
          <w:b w:val="0"/>
          <w:i w:val="0"/>
          <w:color w:val="20252B"/>
          <w:sz w:val="20"/>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pageBreakBefore w:val="0"/>
        <w:spacing w:after="80" w:line="269" w:lineRule="auto"/>
        <w:ind w:firstLine="397"/>
        <w:jc w:val="both"/>
      </w:pPr>
      <w:r>
        <w:rPr>
          <w:rFonts w:ascii="Times New Roman" w:hAnsi="Times New Roman" w:eastAsia="Times New Roman"/>
          <w:b w:val="0"/>
          <w:i w:val="0"/>
          <w:color w:val="20252B"/>
          <w:sz w:val="20"/>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pStyle w:val="Heading1"/>
        <w:keepNext/>
        <w:pageBreakBefore w:val="0"/>
        <w:spacing w:after="40"/>
        <w:jc w:val="left"/>
      </w:pPr>
      <w:r>
        <w:rPr>
          <w:rFonts w:ascii="Times New Roman" w:hAnsi="Times New Roman" w:eastAsia="Times New Roman"/>
          <w:b/>
          <w:i w:val="0"/>
          <w:color w:val="1F3A5F"/>
          <w:sz w:val="30"/>
        </w:rPr>
        <w:t>15. ПОЧВЕННАЯ БИОТА, ПСИХОЛОГИЯ ЗАМКНУТОСТИ, ЭКОНОМИКА</w:t>
      </w:r>
    </w:p>
    <w:p>
      <w:pPr>
        <w:pageBreakBefore w:val="0"/>
        <w:spacing w:after="80" w:line="269" w:lineRule="auto"/>
        <w:ind w:firstLine="397"/>
        <w:jc w:val="both"/>
      </w:pPr>
      <w:r>
        <w:rPr>
          <w:rFonts w:ascii="Times New Roman" w:hAnsi="Times New Roman" w:eastAsia="Times New Roman"/>
          <w:b w:val="0"/>
          <w:i w:val="0"/>
          <w:color w:val="20252B"/>
          <w:sz w:val="20"/>
        </w:rPr>
        <w:t>Три междисциплинарных вопроса требуют привлечения смежных наук: устойчивость почвенной биоты, психология замкнутости и экономическая модель станции. Ниже приведены доступные оценки и явно обозначены пределы инженерного расчёта.</w:t>
      </w:r>
    </w:p>
    <w:p>
      <w:pPr>
        <w:pStyle w:val="Heading2"/>
        <w:keepNext/>
        <w:pageBreakBefore w:val="0"/>
        <w:spacing w:after="40"/>
        <w:jc w:val="left"/>
      </w:pPr>
      <w:r>
        <w:rPr>
          <w:rFonts w:ascii="Times New Roman" w:hAnsi="Times New Roman" w:eastAsia="Times New Roman"/>
          <w:b/>
          <w:i w:val="0"/>
          <w:color w:val="2F5D83"/>
          <w:sz w:val="25"/>
        </w:rPr>
        <w:t>15.1. Почвенная биота</w:t>
      </w:r>
    </w:p>
    <w:p>
      <w:pPr>
        <w:pageBreakBefore w:val="0"/>
        <w:spacing w:after="80" w:line="269" w:lineRule="auto"/>
        <w:ind w:firstLine="397"/>
        <w:jc w:val="both"/>
      </w:pPr>
      <w:r>
        <w:rPr>
          <w:rFonts w:ascii="Times New Roman" w:hAnsi="Times New Roman" w:eastAsia="Times New Roman"/>
          <w:b w:val="0"/>
          <w:i w:val="0"/>
          <w:color w:val="20252B"/>
          <w:sz w:val="20"/>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pageBreakBefore w:val="0"/>
        <w:spacing w:after="80" w:line="269" w:lineRule="auto"/>
        <w:ind w:firstLine="397"/>
        <w:jc w:val="both"/>
      </w:pPr>
      <w:r>
        <w:rPr>
          <w:rFonts w:ascii="Times New Roman" w:hAnsi="Times New Roman" w:eastAsia="Times New Roman"/>
          <w:b w:val="0"/>
          <w:i w:val="0"/>
          <w:color w:val="20252B"/>
          <w:sz w:val="20"/>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pageBreakBefore w:val="0"/>
        <w:spacing w:after="80" w:line="269" w:lineRule="auto"/>
        <w:ind w:firstLine="397"/>
        <w:jc w:val="both"/>
      </w:pPr>
      <w:r>
        <w:rPr>
          <w:rFonts w:ascii="Times New Roman" w:hAnsi="Times New Roman" w:eastAsia="Times New Roman"/>
          <w:b w:val="0"/>
          <w:i w:val="0"/>
          <w:color w:val="20252B"/>
          <w:sz w:val="20"/>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pageBreakBefore w:val="0"/>
        <w:spacing w:after="80" w:line="269" w:lineRule="auto"/>
        <w:ind w:firstLine="397"/>
        <w:jc w:val="both"/>
      </w:pPr>
      <w:r>
        <w:rPr>
          <w:rFonts w:ascii="Times New Roman" w:hAnsi="Times New Roman" w:eastAsia="Times New Roman"/>
          <w:b w:val="0"/>
          <w:i w:val="0"/>
          <w:color w:val="20252B"/>
          <w:sz w:val="20"/>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pageBreakBefore w:val="0"/>
        <w:spacing w:after="80" w:line="269" w:lineRule="auto"/>
        <w:ind w:firstLine="397"/>
        <w:jc w:val="both"/>
      </w:pPr>
      <w:r>
        <w:rPr>
          <w:rFonts w:ascii="Times New Roman" w:hAnsi="Times New Roman" w:eastAsia="Times New Roman"/>
          <w:b w:val="0"/>
          <w:i w:val="0"/>
          <w:color w:val="20252B"/>
          <w:sz w:val="20"/>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pageBreakBefore w:val="0"/>
        <w:spacing w:after="80" w:line="269" w:lineRule="auto"/>
        <w:ind w:firstLine="397"/>
        <w:jc w:val="both"/>
      </w:pPr>
      <w:r>
        <w:rPr>
          <w:rFonts w:ascii="Times New Roman" w:hAnsi="Times New Roman" w:eastAsia="Times New Roman"/>
          <w:b w:val="0"/>
          <w:i w:val="0"/>
          <w:color w:val="20252B"/>
          <w:sz w:val="20"/>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pageBreakBefore w:val="0"/>
        <w:spacing w:after="80" w:line="269" w:lineRule="auto"/>
        <w:ind w:firstLine="397"/>
        <w:jc w:val="both"/>
      </w:pPr>
      <w:r>
        <w:rPr>
          <w:rFonts w:ascii="Times New Roman" w:hAnsi="Times New Roman" w:eastAsia="Times New Roman"/>
          <w:b w:val="0"/>
          <w:i w:val="0"/>
          <w:color w:val="20252B"/>
          <w:sz w:val="20"/>
        </w:rPr>
        <w:t>Экономическая модель существования станции, источник финансирования, форма собственности и порядок расчётов между станцией и Землёй требуют отдельной экономической и правовой проработки.</w:t>
      </w:r>
    </w:p>
    <w:p>
      <w:pPr>
        <w:pStyle w:val="Heading2"/>
        <w:keepNext/>
        <w:pageBreakBefore w:val="0"/>
        <w:spacing w:after="40"/>
        <w:jc w:val="left"/>
      </w:pPr>
      <w:r>
        <w:rPr>
          <w:rFonts w:ascii="Times New Roman" w:hAnsi="Times New Roman" w:eastAsia="Times New Roman"/>
          <w:b/>
          <w:i w:val="0"/>
          <w:color w:val="2F5D83"/>
          <w:sz w:val="25"/>
        </w:rPr>
        <w:t>15.2. Психология замкнутости</w:t>
      </w:r>
    </w:p>
    <w:p>
      <w:pPr>
        <w:pageBreakBefore w:val="0"/>
        <w:spacing w:after="80" w:line="269" w:lineRule="auto"/>
        <w:ind w:firstLine="397"/>
        <w:jc w:val="both"/>
      </w:pPr>
      <w:r>
        <w:rPr>
          <w:rFonts w:ascii="Times New Roman" w:hAnsi="Times New Roman" w:eastAsia="Times New Roman"/>
          <w:b w:val="0"/>
          <w:i w:val="0"/>
          <w:color w:val="20252B"/>
          <w:sz w:val="20"/>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pageBreakBefore w:val="0"/>
        <w:spacing w:after="80" w:line="269" w:lineRule="auto"/>
        <w:ind w:firstLine="397"/>
        <w:jc w:val="both"/>
      </w:pPr>
      <w:r>
        <w:rPr>
          <w:rFonts w:ascii="Times New Roman" w:hAnsi="Times New Roman" w:eastAsia="Times New Roman"/>
          <w:b w:val="0"/>
          <w:i w:val="0"/>
          <w:color w:val="20252B"/>
          <w:sz w:val="20"/>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pageBreakBefore w:val="0"/>
        <w:spacing w:after="80" w:line="269" w:lineRule="auto"/>
        <w:ind w:firstLine="397"/>
        <w:jc w:val="both"/>
      </w:pPr>
      <w:r>
        <w:rPr>
          <w:rFonts w:ascii="Times New Roman" w:hAnsi="Times New Roman" w:eastAsia="Times New Roman"/>
          <w:b w:val="0"/>
          <w:i w:val="0"/>
          <w:color w:val="20252B"/>
          <w:sz w:val="20"/>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pageBreakBefore w:val="0"/>
        <w:spacing w:after="80" w:line="269" w:lineRule="auto"/>
        <w:ind w:firstLine="397"/>
        <w:jc w:val="both"/>
      </w:pPr>
      <w:r>
        <w:rPr>
          <w:rFonts w:ascii="Times New Roman" w:hAnsi="Times New Roman" w:eastAsia="Times New Roman"/>
          <w:b w:val="0"/>
          <w:i w:val="0"/>
          <w:color w:val="20252B"/>
          <w:sz w:val="20"/>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pageBreakBefore w:val="0"/>
        <w:spacing w:after="80" w:line="269" w:lineRule="auto"/>
        <w:ind w:firstLine="397"/>
        <w:jc w:val="both"/>
      </w:pPr>
      <w:r>
        <w:rPr>
          <w:rFonts w:ascii="Times New Roman" w:hAnsi="Times New Roman" w:eastAsia="Times New Roman"/>
          <w:b w:val="0"/>
          <w:i w:val="0"/>
          <w:color w:val="20252B"/>
          <w:sz w:val="20"/>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pStyle w:val="Heading2"/>
        <w:keepNext/>
        <w:pageBreakBefore w:val="0"/>
        <w:spacing w:after="40"/>
        <w:jc w:val="left"/>
      </w:pPr>
      <w:r>
        <w:rPr>
          <w:rFonts w:ascii="Times New Roman" w:hAnsi="Times New Roman" w:eastAsia="Times New Roman"/>
          <w:b/>
          <w:i w:val="0"/>
          <w:color w:val="2F5D83"/>
          <w:sz w:val="25"/>
        </w:rPr>
        <w:t>15.3. Экономика</w:t>
      </w:r>
    </w:p>
    <w:p>
      <w:pPr>
        <w:pageBreakBefore w:val="0"/>
        <w:spacing w:after="80" w:line="269" w:lineRule="auto"/>
        <w:ind w:firstLine="397"/>
        <w:jc w:val="both"/>
      </w:pPr>
      <w:r>
        <w:rPr>
          <w:rFonts w:ascii="Times New Roman" w:hAnsi="Times New Roman" w:eastAsia="Times New Roman"/>
          <w:b w:val="0"/>
          <w:i w:val="0"/>
          <w:color w:val="20252B"/>
          <w:sz w:val="20"/>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pageBreakBefore w:val="0"/>
        <w:spacing w:after="80" w:line="269" w:lineRule="auto"/>
        <w:ind w:firstLine="397"/>
        <w:jc w:val="both"/>
      </w:pPr>
      <w:r>
        <w:rPr>
          <w:rFonts w:ascii="Times New Roman" w:hAnsi="Times New Roman" w:eastAsia="Times New Roman"/>
          <w:b w:val="0"/>
          <w:i w:val="0"/>
          <w:color w:val="20252B"/>
          <w:sz w:val="20"/>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pageBreakBefore w:val="0"/>
        <w:spacing w:after="80" w:line="269" w:lineRule="auto"/>
        <w:ind w:firstLine="397"/>
        <w:jc w:val="both"/>
      </w:pPr>
      <w:r>
        <w:rPr>
          <w:rFonts w:ascii="Times New Roman" w:hAnsi="Times New Roman" w:eastAsia="Times New Roman"/>
          <w:b w:val="0"/>
          <w:i w:val="0"/>
          <w:color w:val="20252B"/>
          <w:sz w:val="20"/>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pageBreakBefore w:val="0"/>
        <w:spacing w:after="80" w:line="269" w:lineRule="auto"/>
        <w:ind w:firstLine="397"/>
        <w:jc w:val="both"/>
      </w:pPr>
      <w:r>
        <w:rPr>
          <w:rFonts w:ascii="Times New Roman" w:hAnsi="Times New Roman" w:eastAsia="Times New Roman"/>
          <w:b w:val="0"/>
          <w:i w:val="0"/>
          <w:color w:val="20252B"/>
          <w:sz w:val="20"/>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pageBreakBefore w:val="0"/>
        <w:spacing w:after="80" w:line="269" w:lineRule="auto"/>
        <w:ind w:firstLine="397"/>
        <w:jc w:val="both"/>
      </w:pPr>
      <w:r>
        <w:rPr>
          <w:rFonts w:ascii="Times New Roman" w:hAnsi="Times New Roman" w:eastAsia="Times New Roman"/>
          <w:b w:val="0"/>
          <w:i w:val="0"/>
          <w:color w:val="20252B"/>
          <w:sz w:val="20"/>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pageBreakBefore w:val="0"/>
        <w:spacing w:after="80" w:line="269" w:lineRule="auto"/>
        <w:ind w:firstLine="397"/>
        <w:jc w:val="both"/>
      </w:pPr>
      <w:r>
        <w:rPr>
          <w:rFonts w:ascii="Times New Roman" w:hAnsi="Times New Roman" w:eastAsia="Times New Roman"/>
          <w:b w:val="0"/>
          <w:i w:val="0"/>
          <w:color w:val="20252B"/>
          <w:sz w:val="20"/>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Проект их не устанавливает и не подменяет экономическую и правовую проработку инженерными расчётами.</w:t>
      </w:r>
    </w:p>
    <w:p>
      <w:pPr>
        <w:pStyle w:val="Heading2"/>
        <w:keepNext/>
        <w:pageBreakBefore w:val="0"/>
        <w:spacing w:after="40"/>
        <w:jc w:val="left"/>
      </w:pPr>
      <w:r>
        <w:rPr>
          <w:rFonts w:ascii="Times New Roman" w:hAnsi="Times New Roman" w:eastAsia="Times New Roman"/>
          <w:b/>
          <w:i w:val="0"/>
          <w:color w:val="2F5D83"/>
          <w:sz w:val="25"/>
        </w:rPr>
        <w:t>15.4. Безвозмездное софинансирование проекта</w:t>
      </w:r>
    </w:p>
    <w:p>
      <w:pPr>
        <w:pageBreakBefore w:val="0"/>
        <w:spacing w:after="80" w:line="269" w:lineRule="auto"/>
        <w:ind w:firstLine="397"/>
        <w:jc w:val="both"/>
      </w:pPr>
      <w:r>
        <w:rPr>
          <w:rFonts w:ascii="Times New Roman" w:hAnsi="Times New Roman" w:eastAsia="Times New Roman"/>
          <w:b w:val="0"/>
          <w:i w:val="0"/>
          <w:color w:val="20252B"/>
          <w:sz w:val="20"/>
        </w:rPr>
        <w:t>Другие физические и юридические лица могут оказывать личному проекту безвозмездное софинансирование в пределах применимого законодательства и без приобретения прав на проект, станцию или её имущество. Перечень предполагаемых затрат, назначение средств, объём участия и связанные с ним ограничения отражаются в письмах поддержки, адресованных автору проекта. Такие письма являются документами поддержки проекта и не заменяют договоры, сметы, лицензии или иные обязательные документы.</w:t>
      </w:r>
    </w:p>
    <w:p>
      <w:pPr>
        <w:pStyle w:val="Heading1"/>
        <w:keepNext/>
        <w:pageBreakBefore w:val="0"/>
        <w:spacing w:after="40"/>
        <w:jc w:val="left"/>
      </w:pPr>
      <w:r>
        <w:rPr>
          <w:rFonts w:ascii="Times New Roman" w:hAnsi="Times New Roman" w:eastAsia="Times New Roman"/>
          <w:b/>
          <w:i w:val="0"/>
          <w:color w:val="1F3A5F"/>
          <w:sz w:val="30"/>
        </w:rPr>
        <w:t>16. КИСЛОРОДНЫЙ БАЛАНС ВО ВРЕМЕНИ: УРОК «БИОСФЕРЫ-2»</w:t>
      </w:r>
    </w:p>
    <w:p>
      <w:pPr>
        <w:pageBreakBefore w:val="0"/>
        <w:spacing w:after="80" w:line="269" w:lineRule="auto"/>
        <w:ind w:firstLine="397"/>
        <w:jc w:val="both"/>
      </w:pPr>
      <w:r>
        <w:rPr>
          <w:rFonts w:ascii="Times New Roman" w:hAnsi="Times New Roman" w:eastAsia="Times New Roman"/>
          <w:b w:val="0"/>
          <w:i w:val="0"/>
          <w:color w:val="20252B"/>
          <w:sz w:val="20"/>
        </w:rPr>
        <w:t>Настоящая глава рассматривает поглощение кислорода конструкциями и почвой — фактор, важный для длительного замкнутого биологического цикла и требующий отдельного эксплуатационного контроля.</w:t>
      </w:r>
    </w:p>
    <w:p>
      <w:pPr>
        <w:pStyle w:val="Heading2"/>
        <w:keepNext/>
        <w:pageBreakBefore w:val="0"/>
        <w:spacing w:after="40"/>
        <w:jc w:val="left"/>
      </w:pPr>
      <w:r>
        <w:rPr>
          <w:rFonts w:ascii="Times New Roman" w:hAnsi="Times New Roman" w:eastAsia="Times New Roman"/>
          <w:b/>
          <w:i w:val="0"/>
          <w:color w:val="2F5D83"/>
          <w:sz w:val="25"/>
        </w:rPr>
        <w:t>16.1. Что произошло в «Биосфере-2»</w:t>
      </w:r>
    </w:p>
    <w:p>
      <w:pPr>
        <w:pageBreakBefore w:val="0"/>
        <w:spacing w:after="80" w:line="269" w:lineRule="auto"/>
        <w:ind w:firstLine="397"/>
        <w:jc w:val="both"/>
      </w:pPr>
      <w:r>
        <w:rPr>
          <w:rFonts w:ascii="Times New Roman" w:hAnsi="Times New Roman" w:eastAsia="Times New Roman"/>
          <w:b w:val="0"/>
          <w:i w:val="0"/>
          <w:color w:val="20252B"/>
          <w:sz w:val="20"/>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pStyle w:val="Heading2"/>
        <w:keepNext/>
        <w:pageBreakBefore w:val="0"/>
        <w:spacing w:after="40"/>
        <w:jc w:val="left"/>
      </w:pPr>
      <w:r>
        <w:rPr>
          <w:rFonts w:ascii="Times New Roman" w:hAnsi="Times New Roman" w:eastAsia="Times New Roman"/>
          <w:b/>
          <w:i w:val="0"/>
          <w:color w:val="2F5D83"/>
          <w:sz w:val="25"/>
        </w:rPr>
        <w:t>16.2. Применимость к станции: карбонизация исключена</w:t>
      </w:r>
    </w:p>
    <w:p>
      <w:pPr>
        <w:pageBreakBefore w:val="0"/>
        <w:spacing w:after="80" w:line="269" w:lineRule="auto"/>
        <w:ind w:firstLine="397"/>
        <w:jc w:val="both"/>
      </w:pPr>
      <w:r>
        <w:rPr>
          <w:rFonts w:ascii="Times New Roman" w:hAnsi="Times New Roman" w:eastAsia="Times New Roman"/>
          <w:b w:val="0"/>
          <w:i w:val="0"/>
          <w:color w:val="20252B"/>
          <w:sz w:val="20"/>
        </w:rPr>
        <w:t>Причина, связанная с карбонизацией бетона, на станции отсутствует.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материала.</w:t>
      </w:r>
    </w:p>
    <w:p>
      <w:pPr>
        <w:pageBreakBefore w:val="0"/>
        <w:spacing w:after="80" w:line="269" w:lineRule="auto"/>
        <w:ind w:firstLine="397"/>
        <w:jc w:val="both"/>
      </w:pPr>
      <w:r>
        <w:rPr>
          <w:rFonts w:ascii="Times New Roman" w:hAnsi="Times New Roman" w:eastAsia="Times New Roman"/>
          <w:b w:val="0"/>
          <w:i w:val="0"/>
          <w:color w:val="20252B"/>
          <w:sz w:val="20"/>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pStyle w:val="Heading2"/>
        <w:keepNext/>
        <w:pageBreakBefore w:val="0"/>
        <w:spacing w:after="40"/>
        <w:jc w:val="left"/>
      </w:pPr>
      <w:r>
        <w:rPr>
          <w:rFonts w:ascii="Times New Roman" w:hAnsi="Times New Roman" w:eastAsia="Times New Roman"/>
          <w:b/>
          <w:i w:val="0"/>
          <w:color w:val="2F5D83"/>
          <w:sz w:val="25"/>
        </w:rPr>
        <w:t>16.3. Собственный аналог: окисление стали</w:t>
      </w:r>
    </w:p>
    <w:p>
      <w:pPr>
        <w:pageBreakBefore w:val="0"/>
        <w:spacing w:after="80" w:line="269" w:lineRule="auto"/>
        <w:ind w:firstLine="397"/>
        <w:jc w:val="both"/>
      </w:pPr>
      <w:r>
        <w:rPr>
          <w:rFonts w:ascii="Times New Roman" w:hAnsi="Times New Roman" w:eastAsia="Times New Roman"/>
          <w:b w:val="0"/>
          <w:i w:val="0"/>
          <w:color w:val="20252B"/>
          <w:sz w:val="20"/>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pageBreakBefore w:val="0"/>
        <w:spacing w:after="80" w:line="269" w:lineRule="auto"/>
        <w:ind w:firstLine="397"/>
        <w:jc w:val="both"/>
      </w:pPr>
      <w:r>
        <w:rPr>
          <w:rFonts w:ascii="Times New Roman" w:hAnsi="Times New Roman" w:eastAsia="Times New Roman"/>
          <w:b w:val="0"/>
          <w:i w:val="0"/>
          <w:color w:val="20252B"/>
          <w:sz w:val="20"/>
        </w:rPr>
        <w:t>Коррозионный сток рассчитывается для открытых внутренних металлических поверхностей. Наружная поверхность находится в вакууме, где кислорода нет, а большая часть внутренней площади изолирована грунтом, водоёмами и покрытиями. Расчётная доля открытого металла составляет 5 % полной площади двух цилиндров; соответствующий сценарий приведён в следующем абзаце.</w:t>
      </w:r>
    </w:p>
    <w:p>
      <w:pPr>
        <w:pageBreakBefore w:val="0"/>
        <w:spacing w:after="80" w:line="269" w:lineRule="auto"/>
        <w:ind w:firstLine="397"/>
        <w:jc w:val="both"/>
      </w:pPr>
      <w:r>
        <w:rPr>
          <w:rFonts w:ascii="Times New Roman" w:hAnsi="Times New Roman" w:eastAsia="Times New Roman"/>
          <w:b w:val="0"/>
          <w:i w:val="0"/>
          <w:color w:val="20252B"/>
          <w:sz w:val="20"/>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pStyle w:val="Heading2"/>
        <w:keepNext/>
        <w:pageBreakBefore w:val="0"/>
        <w:spacing w:after="40"/>
        <w:jc w:val="left"/>
      </w:pPr>
      <w:r>
        <w:rPr>
          <w:rFonts w:ascii="Times New Roman" w:hAnsi="Times New Roman" w:eastAsia="Times New Roman"/>
          <w:b/>
          <w:i w:val="0"/>
          <w:color w:val="2F5D83"/>
          <w:sz w:val="25"/>
        </w:rPr>
        <w:t>16.4. Результат: величина значима</w:t>
      </w:r>
    </w:p>
    <w:p>
      <w:pPr>
        <w:pageBreakBefore w:val="0"/>
        <w:spacing w:after="80" w:line="269" w:lineRule="auto"/>
        <w:ind w:firstLine="397"/>
        <w:jc w:val="both"/>
      </w:pPr>
      <w:r>
        <w:rPr>
          <w:rFonts w:ascii="Times New Roman" w:hAnsi="Times New Roman" w:eastAsia="Times New Roman"/>
          <w:b w:val="0"/>
          <w:i w:val="0"/>
          <w:color w:val="20252B"/>
          <w:sz w:val="20"/>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pageBreakBefore w:val="0"/>
        <w:spacing w:after="80" w:line="269" w:lineRule="auto"/>
        <w:ind w:firstLine="397"/>
        <w:jc w:val="both"/>
      </w:pPr>
      <w:r>
        <w:rPr>
          <w:rFonts w:ascii="Times New Roman" w:hAnsi="Times New Roman" w:eastAsia="Times New Roman"/>
          <w:b w:val="0"/>
          <w:i w:val="0"/>
          <w:color w:val="20252B"/>
          <w:sz w:val="20"/>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pageBreakBefore w:val="0"/>
        <w:spacing w:after="80" w:line="269" w:lineRule="auto"/>
        <w:ind w:firstLine="397"/>
        <w:jc w:val="both"/>
      </w:pPr>
      <w:r>
        <w:rPr>
          <w:rFonts w:ascii="Times New Roman" w:hAnsi="Times New Roman" w:eastAsia="Times New Roman"/>
          <w:b w:val="0"/>
          <w:i w:val="0"/>
          <w:color w:val="20252B"/>
          <w:sz w:val="20"/>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pStyle w:val="Heading2"/>
        <w:keepNext/>
        <w:pageBreakBefore w:val="0"/>
        <w:spacing w:after="40"/>
        <w:jc w:val="left"/>
      </w:pPr>
      <w:r>
        <w:rPr>
          <w:rFonts w:ascii="Times New Roman" w:hAnsi="Times New Roman" w:eastAsia="Times New Roman"/>
          <w:b/>
          <w:i w:val="0"/>
          <w:color w:val="2F5D83"/>
          <w:sz w:val="25"/>
        </w:rPr>
        <w:t>16.5. Компенсация</w:t>
      </w:r>
    </w:p>
    <w:p>
      <w:pPr>
        <w:pageBreakBefore w:val="0"/>
        <w:spacing w:after="80" w:line="269" w:lineRule="auto"/>
        <w:ind w:firstLine="397"/>
        <w:jc w:val="both"/>
      </w:pPr>
      <w:r>
        <w:rPr>
          <w:rFonts w:ascii="Times New Roman" w:hAnsi="Times New Roman" w:eastAsia="Times New Roman"/>
          <w:b w:val="0"/>
          <w:i w:val="0"/>
          <w:color w:val="20252B"/>
          <w:sz w:val="20"/>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pageBreakBefore w:val="0"/>
        <w:spacing w:after="80" w:line="269" w:lineRule="auto"/>
        <w:ind w:firstLine="397"/>
        <w:jc w:val="both"/>
      </w:pPr>
      <w:r>
        <w:rPr>
          <w:rFonts w:ascii="Times New Roman" w:hAnsi="Times New Roman" w:eastAsia="Times New Roman"/>
          <w:b w:val="0"/>
          <w:i w:val="0"/>
          <w:color w:val="20252B"/>
          <w:sz w:val="20"/>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pageBreakBefore w:val="0"/>
        <w:spacing w:after="80" w:line="269" w:lineRule="auto"/>
        <w:ind w:firstLine="397"/>
        <w:jc w:val="both"/>
      </w:pPr>
      <w:r>
        <w:rPr>
          <w:rFonts w:ascii="Times New Roman" w:hAnsi="Times New Roman" w:eastAsia="Times New Roman"/>
          <w:b w:val="0"/>
          <w:i w:val="0"/>
          <w:color w:val="20252B"/>
          <w:sz w:val="20"/>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pageBreakBefore w:val="0"/>
        <w:spacing w:after="80" w:line="269" w:lineRule="auto"/>
        <w:ind w:firstLine="397"/>
        <w:jc w:val="both"/>
      </w:pPr>
      <w:r>
        <w:rPr>
          <w:rFonts w:ascii="Times New Roman" w:hAnsi="Times New Roman" w:eastAsia="Times New Roman"/>
          <w:b w:val="0"/>
          <w:i w:val="0"/>
          <w:color w:val="20252B"/>
          <w:sz w:val="20"/>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pStyle w:val="Heading2"/>
        <w:keepNext/>
        <w:pageBreakBefore w:val="0"/>
        <w:spacing w:after="40"/>
        <w:jc w:val="left"/>
      </w:pPr>
      <w:r>
        <w:rPr>
          <w:rFonts w:ascii="Times New Roman" w:hAnsi="Times New Roman" w:eastAsia="Times New Roman"/>
          <w:b/>
          <w:i w:val="0"/>
          <w:color w:val="2F5D83"/>
          <w:sz w:val="25"/>
        </w:rPr>
        <w:t>16.6. Действующий перечень нерешённого</w:t>
      </w:r>
    </w:p>
    <w:p>
      <w:pPr>
        <w:pageBreakBefore w:val="0"/>
        <w:spacing w:after="80" w:line="269" w:lineRule="auto"/>
        <w:ind w:firstLine="397"/>
        <w:jc w:val="both"/>
      </w:pPr>
      <w:r>
        <w:rPr>
          <w:rFonts w:ascii="Times New Roman" w:hAnsi="Times New Roman" w:eastAsia="Times New Roman"/>
          <w:b w:val="0"/>
          <w:i w:val="0"/>
          <w:color w:val="20252B"/>
          <w:sz w:val="20"/>
        </w:rPr>
        <w:t>Действующий перечень нерешённых задач приведён ниже и включает динамику биосферы, усталость и коррозию конструкции, демографию, технологии добычи и другие вопросы, требующие экспериментов и независимой экспертизы.</w:t>
      </w:r>
    </w:p>
    <w:p>
      <w:pPr>
        <w:pageBreakBefore w:val="0"/>
        <w:spacing w:after="80" w:line="269" w:lineRule="auto"/>
        <w:ind w:firstLine="397"/>
        <w:jc w:val="both"/>
      </w:pPr>
      <w:r>
        <w:rPr>
          <w:rFonts w:ascii="Times New Roman" w:hAnsi="Times New Roman" w:eastAsia="Times New Roman"/>
          <w:b w:val="0"/>
          <w:i w:val="0"/>
          <w:color w:val="20252B"/>
          <w:sz w:val="20"/>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Динамика замкнутой биосферы требует отдельного имитационного моделирования с запаздываниями; эта работа включена в обязательную программу дальнейших исследований.</w:t>
      </w:r>
    </w:p>
    <w:p>
      <w:pPr>
        <w:pageBreakBefore w:val="0"/>
        <w:spacing w:after="80" w:line="269" w:lineRule="auto"/>
        <w:ind w:firstLine="397"/>
        <w:jc w:val="both"/>
      </w:pPr>
      <w:r>
        <w:rPr>
          <w:rFonts w:ascii="Times New Roman" w:hAnsi="Times New Roman" w:eastAsia="Times New Roman"/>
          <w:b w:val="0"/>
          <w:i w:val="0"/>
          <w:color w:val="20252B"/>
          <w:sz w:val="20"/>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pageBreakBefore w:val="0"/>
        <w:spacing w:after="80" w:line="269" w:lineRule="auto"/>
        <w:ind w:firstLine="397"/>
        <w:jc w:val="both"/>
      </w:pPr>
      <w:r>
        <w:rPr>
          <w:rFonts w:ascii="Times New Roman" w:hAnsi="Times New Roman" w:eastAsia="Times New Roman"/>
          <w:b w:val="0"/>
          <w:i w:val="0"/>
          <w:color w:val="20252B"/>
          <w:sz w:val="20"/>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pageBreakBefore w:val="0"/>
        <w:spacing w:after="80" w:line="269" w:lineRule="auto"/>
        <w:ind w:firstLine="397"/>
        <w:jc w:val="both"/>
      </w:pPr>
      <w:r>
        <w:rPr>
          <w:rFonts w:ascii="Times New Roman" w:hAnsi="Times New Roman" w:eastAsia="Times New Roman"/>
          <w:b w:val="0"/>
          <w:i w:val="0"/>
          <w:color w:val="20252B"/>
          <w:sz w:val="20"/>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pageBreakBefore w:val="0"/>
        <w:spacing w:after="80" w:line="269" w:lineRule="auto"/>
        <w:ind w:firstLine="397"/>
        <w:jc w:val="both"/>
      </w:pPr>
      <w:r>
        <w:rPr>
          <w:rFonts w:ascii="Times New Roman" w:hAnsi="Times New Roman" w:eastAsia="Times New Roman"/>
          <w:b w:val="0"/>
          <w:i w:val="0"/>
          <w:color w:val="20252B"/>
          <w:sz w:val="20"/>
        </w:rPr>
        <w:t>Пятое. Детальная компоновка внутренних помещений и точная доля открытого металла жилого объёма остаются нерешёнными. Транспортный интерфейс, передние рамы, два коридора А/Б, четыре канала движения, полый осевой вал и последовательность гермокамер теперь заданы отдельной спецификацией `TRANSPORT_INTERFACE_SPEC_v1.md`, но это ещё не рабочая деталировка помещений.</w:t>
      </w:r>
    </w:p>
    <w:p>
      <w:pPr>
        <w:pageBreakBefore w:val="0"/>
        <w:spacing w:after="80" w:line="269" w:lineRule="auto"/>
        <w:ind w:firstLine="397"/>
      </w:pPr>
      <w:r>
        <w:rPr>
          <w:rFonts w:ascii="Times New Roman" w:hAnsi="Times New Roman" w:eastAsia="Times New Roman"/>
          <w:b w:val="0"/>
          <w:i w:val="0"/>
          <w:color w:val="20252B"/>
          <w:sz w:val="20"/>
        </w:rPr>
        <w:t>Седьмое. Социально-правовая система постоянного населения: правоохранительная служба, процедуры расследования и обжалования, трудовое и семейное право, социальное обеспечение, защита детей, медицинских и биометрических данных, а также пределы аварийных полномочий администрации (гл. 17).</w:t>
      </w:r>
    </w:p>
    <w:p>
      <w:pPr>
        <w:pageBreakBefore w:val="0"/>
        <w:spacing w:after="80" w:line="269" w:lineRule="auto"/>
        <w:ind w:firstLine="397"/>
      </w:pPr>
      <w:r>
        <w:rPr>
          <w:rFonts w:ascii="Times New Roman" w:hAnsi="Times New Roman" w:eastAsia="Times New Roman"/>
          <w:b w:val="0"/>
          <w:i w:val="0"/>
          <w:color w:val="20252B"/>
          <w:sz w:val="20"/>
        </w:rPr>
        <w:t>Восьмое. Ядерно-радиологический контур термоядерной энергетики: наработка и учёт трития, нейтронная активация, дозовые поля, обращение с радиоактивными отходами, лицензирование и вывод из эксплуатации (гл. 18). Если появится делящийся реактор, потребуется отдельная программа полного ядерного топливного цикла.</w:t>
      </w:r>
    </w:p>
    <w:p>
      <w:pPr>
        <w:pageBreakBefore w:val="0"/>
        <w:spacing w:after="80" w:line="269" w:lineRule="auto"/>
        <w:ind w:firstLine="397"/>
        <w:jc w:val="both"/>
      </w:pPr>
      <w:r>
        <w:rPr>
          <w:rFonts w:ascii="Times New Roman" w:hAnsi="Times New Roman" w:eastAsia="Times New Roman"/>
          <w:b w:val="0"/>
          <w:i w:val="0"/>
          <w:color w:val="20252B"/>
          <w:sz w:val="20"/>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pageBreakBefore w:val="0"/>
        <w:spacing w:after="80" w:line="269" w:lineRule="auto"/>
        <w:ind w:firstLine="397"/>
      </w:pPr>
      <w:r>
        <w:rPr>
          <w:rFonts w:ascii="Times New Roman" w:hAnsi="Times New Roman" w:eastAsia="Times New Roman"/>
          <w:b w:val="0"/>
          <w:i w:val="0"/>
          <w:color w:val="20252B"/>
          <w:sz w:val="20"/>
        </w:rPr>
        <w:t>Девятое. Дополнительные междисциплинарные задачи, собранные в гл. 19: дефицитные материалы и промышленная реализуемость, полномасштабная механика, динамика биосферы и следовые загрязнители, физиология человека, пожар и токсикология, переходные режимы энергетики и воды, транспорт и спасение, орбитальная навигация и связь, программная верификация, качество производства, человеческий фактор, финансирование и бюджет неопределённости.</w:t>
      </w:r>
    </w:p>
    <w:p>
      <w:pPr>
        <w:pageBreakBefore w:val="0"/>
        <w:spacing w:after="80" w:line="269" w:lineRule="auto"/>
        <w:ind w:firstLine="397"/>
        <w:jc w:val="both"/>
      </w:pPr>
      <w:r>
        <w:rPr>
          <w:rFonts w:ascii="Times New Roman" w:hAnsi="Times New Roman" w:eastAsia="Times New Roman"/>
          <w:b w:val="0"/>
          <w:i w:val="0"/>
          <w:color w:val="20252B"/>
          <w:sz w:val="20"/>
        </w:rPr>
        <w:t>Компоновочная база транспортного интерфейса, комбинированной передней рамы, причальных порталов, шести солнечных крыльев, трёхантенной схемы и координатной основы внутренней карты считается закрытой на уровне текстового проектного решения; описание находится в главах 4, 7, 12 и 13 настоящего документа. Следующие проверки остаются обязательными: динамика магнитного подшипника Ø400 м, посадка на механические ловители, МКЭ усиления устьев Ø30 м, ресурс сегментированных уплотнений, тепловое расширение перехода, прочность крыльев, продольная динамика полной кабины массой 15 т, тормозной путь и радиационная защита закрытой трассы. Отдельные текстовые спецификации по этим решениям не являются частью проекта и не создаются. Дополнительно обязательны: кибербезопасность критической автоматики, план космической погоды и радиационных событий, аварийный штаб и спасение, планетарная защита, программа сертификации и приёмки, матрица ответственности автора проекта, будущего оператора и внешнего перевозчика, а также консервация и завершение эксплуатации.</w:t>
      </w:r>
    </w:p>
    <w:p>
      <w:pPr>
        <w:pStyle w:val="Heading1"/>
        <w:keepNext/>
        <w:pageBreakBefore w:val="0"/>
        <w:spacing w:after="40"/>
      </w:pPr>
      <w:r>
        <w:rPr>
          <w:rFonts w:ascii="Times New Roman" w:hAnsi="Times New Roman" w:eastAsia="Times New Roman"/>
          <w:b/>
          <w:i w:val="0"/>
          <w:color w:val="1F3A5F"/>
          <w:sz w:val="30"/>
        </w:rPr>
        <w:t>17. ПРАВООХРАНИТЕЛЬНАЯ И СОЦИАЛЬНАЯ СИСТЕМА СТАНЦИИ</w:t>
      </w:r>
    </w:p>
    <w:p>
      <w:pPr>
        <w:pageBreakBefore w:val="0"/>
        <w:spacing w:after="80" w:line="269" w:lineRule="auto"/>
        <w:ind w:firstLine="397"/>
      </w:pPr>
      <w:r>
        <w:rPr>
          <w:rFonts w:ascii="Times New Roman" w:hAnsi="Times New Roman" w:eastAsia="Times New Roman"/>
          <w:b w:val="0"/>
          <w:i w:val="0"/>
          <w:color w:val="20252B"/>
          <w:sz w:val="20"/>
        </w:rPr>
        <w:t>Настоящая глава закрывает пробел между общей правовой моделью главы 13 и практической жизнью постоянного населения. Она не создаёт автоматически государство, полицию или суд станции: до договорного перехода станция остаётся космическим объектом под юрисдикцией государства регистрации, а автор проекта — инициатором личной инженерной разработки, не заменяющим лицензируемого оператора. Ниже задаётся требуемая архитектура управления и перечень вопросов, которые должны быть оформлены отдельными нормативными актами, договорами и процедурами.</w:t>
      </w:r>
    </w:p>
    <w:p>
      <w:pPr>
        <w:pStyle w:val="Heading2"/>
        <w:keepNext/>
        <w:pageBreakBefore w:val="0"/>
        <w:spacing w:after="40"/>
      </w:pPr>
      <w:r>
        <w:rPr>
          <w:rFonts w:ascii="Times New Roman" w:hAnsi="Times New Roman" w:eastAsia="Times New Roman"/>
          <w:b/>
          <w:i w:val="0"/>
          <w:color w:val="2F5D83"/>
          <w:sz w:val="25"/>
        </w:rPr>
        <w:t>17.1. Статус управления на переходном этапе</w:t>
      </w:r>
    </w:p>
    <w:p>
      <w:pPr>
        <w:pageBreakBefore w:val="0"/>
        <w:spacing w:after="80" w:line="269" w:lineRule="auto"/>
        <w:ind w:firstLine="397"/>
      </w:pPr>
      <w:r>
        <w:rPr>
          <w:rFonts w:ascii="Times New Roman" w:hAnsi="Times New Roman" w:eastAsia="Times New Roman"/>
          <w:b w:val="0"/>
          <w:i w:val="0"/>
          <w:color w:val="20252B"/>
          <w:sz w:val="20"/>
        </w:rPr>
        <w:t>На первом этапе действует операторская администрация станции. Её полномочия возникают из устава оператора, договора с государством регистрации, разрешений на космическую деятельность и трудовых или гражданско-правовых договоров с экипажем и жителями. Администрация не обладает суверенитетом над станцией, астероидом или космическим пространством и не может объявлять внутренние правила равными законам государства.</w:t>
      </w:r>
    </w:p>
    <w:p>
      <w:pPr>
        <w:pageBreakBefore w:val="0"/>
        <w:spacing w:after="80" w:line="269" w:lineRule="auto"/>
        <w:ind w:firstLine="397"/>
      </w:pPr>
      <w:r>
        <w:rPr>
          <w:rFonts w:ascii="Times New Roman" w:hAnsi="Times New Roman" w:eastAsia="Times New Roman"/>
          <w:b w:val="0"/>
          <w:i w:val="0"/>
          <w:color w:val="20252B"/>
          <w:sz w:val="20"/>
        </w:rPr>
        <w:t>Должны быть разделены как минимум четыре функции: оператор и владелец инфраструктуры; орган безопасности и расследования; медицинская и социальная служба; независимый инспектор, принимающий жалобы на действия администрации. Совмещение эксплуатации, расследования собственного нарушения и вынесения окончательного решения по жалобе не допускается без процедуры независимого пересмотра.</w:t>
      </w:r>
    </w:p>
    <w:p>
      <w:pPr>
        <w:pStyle w:val="Heading2"/>
        <w:keepNext/>
        <w:pageBreakBefore w:val="0"/>
        <w:spacing w:after="40"/>
      </w:pPr>
      <w:r>
        <w:rPr>
          <w:rFonts w:ascii="Times New Roman" w:hAnsi="Times New Roman" w:eastAsia="Times New Roman"/>
          <w:b/>
          <w:i w:val="0"/>
          <w:color w:val="2F5D83"/>
          <w:sz w:val="25"/>
        </w:rPr>
        <w:t>17.2. Правоохранительная служба, расследование и физическая безопасность</w:t>
      </w:r>
    </w:p>
    <w:p>
      <w:pPr>
        <w:pageBreakBefore w:val="0"/>
        <w:spacing w:after="80" w:line="269" w:lineRule="auto"/>
        <w:ind w:firstLine="397"/>
      </w:pPr>
      <w:r>
        <w:rPr>
          <w:rFonts w:ascii="Times New Roman" w:hAnsi="Times New Roman" w:eastAsia="Times New Roman"/>
          <w:b w:val="0"/>
          <w:i w:val="0"/>
          <w:color w:val="20252B"/>
          <w:sz w:val="20"/>
        </w:rPr>
        <w:t>На станции необходима небольшая профессиональная служба общественной безопасности, подчинённая не одному начальнику смены, а утверждённому регламенту с двойным контуром подотчётности. Её задачи: предотвращение насилия и саботажа, защита людей и критической автоматики, охрана мест происшествий, первичный сбор доказательств, контроль доступа и помощь при эвакуации. Она не заменяет государственные органы и не получает права применять силу вне установленной юрисдикции.</w:t>
      </w:r>
    </w:p>
    <w:p>
      <w:pPr>
        <w:pageBreakBefore w:val="0"/>
        <w:spacing w:after="80" w:line="269" w:lineRule="auto"/>
        <w:ind w:firstLine="397"/>
      </w:pPr>
      <w:r>
        <w:rPr>
          <w:rFonts w:ascii="Times New Roman" w:hAnsi="Times New Roman" w:eastAsia="Times New Roman"/>
          <w:b w:val="0"/>
          <w:i w:val="0"/>
          <w:color w:val="20252B"/>
          <w:sz w:val="20"/>
        </w:rPr>
        <w:t>Для каждого происшествия должны фиксироваться время, место, состояние систем, действия персонала, видеоданные и цепочка хранения доказательств. Техническое расследование аварии должно быть отделено от уголовного или дисциплинарного вывода: отказ автоматики не может автоматически объявляться виной оператора. Обязательны запрет самоуправства, регистрация задержания, доступ к медицинской помощи и немедленное уведомление уполномоченного внешнего органа в случаях, предусмотренных применимым правом.</w:t>
      </w:r>
    </w:p>
    <w:p>
      <w:pPr>
        <w:pStyle w:val="Heading2"/>
        <w:keepNext/>
        <w:pageBreakBefore w:val="0"/>
        <w:spacing w:after="40"/>
      </w:pPr>
      <w:r>
        <w:rPr>
          <w:rFonts w:ascii="Times New Roman" w:hAnsi="Times New Roman" w:eastAsia="Times New Roman"/>
          <w:b/>
          <w:i w:val="0"/>
          <w:color w:val="2F5D83"/>
          <w:sz w:val="25"/>
        </w:rPr>
        <w:t>17.3. Судебные и внесудебные процедуры</w:t>
      </w:r>
    </w:p>
    <w:p>
      <w:pPr>
        <w:pageBreakBefore w:val="0"/>
        <w:spacing w:after="80" w:line="269" w:lineRule="auto"/>
        <w:ind w:firstLine="397"/>
      </w:pPr>
      <w:r>
        <w:rPr>
          <w:rFonts w:ascii="Times New Roman" w:hAnsi="Times New Roman" w:eastAsia="Times New Roman"/>
          <w:b w:val="0"/>
          <w:i w:val="0"/>
          <w:color w:val="20252B"/>
          <w:sz w:val="20"/>
        </w:rPr>
        <w:t>До создания договорной автономии споры разрешаются по праву государства регистрации, российскому праву в пределах компетенции российского оператора и условиям договора с жителем. Для малых бытовых споров нужен медиатор или примирительная комиссия; для трудовых, имущественных и дисциплинарных споров — письменная процедура с мотивированным решением и сроком обжалования; для тяжких деяний — передача дела компетентному государственному органу, если иное не установлено международным соглашением.</w:t>
      </w:r>
    </w:p>
    <w:p>
      <w:pPr>
        <w:pageBreakBefore w:val="0"/>
        <w:spacing w:after="80" w:line="269" w:lineRule="auto"/>
        <w:ind w:firstLine="397"/>
      </w:pPr>
      <w:r>
        <w:rPr>
          <w:rFonts w:ascii="Times New Roman" w:hAnsi="Times New Roman" w:eastAsia="Times New Roman"/>
          <w:b w:val="0"/>
          <w:i w:val="0"/>
          <w:color w:val="20252B"/>
          <w:sz w:val="20"/>
        </w:rPr>
        <w:t>Временная хартия станции должна закрепить презумпцию невиновности, право знать обвинение, право на представителя, запрет наказания без процедуры, запрет двойного наказания за одно деяние и обязанность сохранять доказательства. Любая внутренняя «чрезвычайная юрисдикция» должна иметь ограниченный срок, перечень оснований и последующий независимый пересмотр.</w:t>
      </w:r>
    </w:p>
    <w:p>
      <w:pPr>
        <w:pStyle w:val="Heading2"/>
        <w:keepNext/>
        <w:pageBreakBefore w:val="0"/>
        <w:spacing w:after="40"/>
      </w:pPr>
      <w:r>
        <w:rPr>
          <w:rFonts w:ascii="Times New Roman" w:hAnsi="Times New Roman" w:eastAsia="Times New Roman"/>
          <w:b/>
          <w:i w:val="0"/>
          <w:color w:val="2F5D83"/>
          <w:sz w:val="25"/>
        </w:rPr>
        <w:t>17.4. Права, обязанности и гарантии жителей</w:t>
      </w:r>
    </w:p>
    <w:p>
      <w:pPr>
        <w:pageBreakBefore w:val="0"/>
        <w:spacing w:after="80" w:line="269" w:lineRule="auto"/>
        <w:ind w:firstLine="397"/>
      </w:pPr>
      <w:r>
        <w:rPr>
          <w:rFonts w:ascii="Times New Roman" w:hAnsi="Times New Roman" w:eastAsia="Times New Roman"/>
          <w:b w:val="0"/>
          <w:i w:val="0"/>
          <w:color w:val="20252B"/>
          <w:sz w:val="20"/>
        </w:rPr>
        <w:t>Базовый каталог прав включает жизнь и физическую неприкосновенность, медицинскую помощь, безопасные условия труда и проживания, связь с Землёй, защиту частной жизни, свободу совести и выражения мнения в пределах требований безопасности, доступ к процедуре жалобы и защиту от дискриминации. Оператор обязан публиковать правила, которые ограничивают эти права, и указывать, какая именно опасность оправдывает ограничение.</w:t>
      </w:r>
    </w:p>
    <w:p>
      <w:pPr>
        <w:pageBreakBefore w:val="0"/>
        <w:spacing w:after="80" w:line="269" w:lineRule="auto"/>
        <w:ind w:firstLine="397"/>
      </w:pPr>
      <w:r>
        <w:rPr>
          <w:rFonts w:ascii="Times New Roman" w:hAnsi="Times New Roman" w:eastAsia="Times New Roman"/>
          <w:b w:val="0"/>
          <w:i w:val="0"/>
          <w:color w:val="20252B"/>
          <w:sz w:val="20"/>
        </w:rPr>
        <w:t>Обязанности жителей включают соблюдение регламентов безопасности, участие в обязательной подготовке к авариям, сообщение о непосредственной угрозе, сохранение критической инфраструктуры и выполнение законных распоряжений при эвакуации. Принудительный труд как постоянная форма обеспечения станции недопустим; аварийные обязанности должны быть ограничены временем, необходимостью и медицинскими противопоказаниями.</w:t>
      </w:r>
    </w:p>
    <w:p>
      <w:pPr>
        <w:pStyle w:val="Heading2"/>
        <w:keepNext/>
        <w:pageBreakBefore w:val="0"/>
        <w:spacing w:after="40"/>
      </w:pPr>
      <w:r>
        <w:rPr>
          <w:rFonts w:ascii="Times New Roman" w:hAnsi="Times New Roman" w:eastAsia="Times New Roman"/>
          <w:b/>
          <w:i w:val="0"/>
          <w:color w:val="2F5D83"/>
          <w:sz w:val="25"/>
        </w:rPr>
        <w:t>17.5. Труд, жильё, образование, медицина и социальное обеспечение</w:t>
      </w:r>
    </w:p>
    <w:p>
      <w:pPr>
        <w:pageBreakBefore w:val="0"/>
        <w:spacing w:after="80" w:line="269" w:lineRule="auto"/>
        <w:ind w:firstLine="397"/>
      </w:pPr>
      <w:r>
        <w:rPr>
          <w:rFonts w:ascii="Times New Roman" w:hAnsi="Times New Roman" w:eastAsia="Times New Roman"/>
          <w:b w:val="0"/>
          <w:i w:val="0"/>
          <w:color w:val="20252B"/>
          <w:sz w:val="20"/>
        </w:rPr>
        <w:t>Эксплуатационная модель должна содержать трудовой кодекс станции: продолжительность смен, отдых, воздействие радиации и шума, допуски к критическим системам, обучение, расследование производственных травм, оплату или иной эквивалент вознаграждения и порядок отказа от опасной работы при непосредственной угрозе жизни. Жильё не может быть одновременно рабочим местом без учёта права на отдых и личное пространство.</w:t>
      </w:r>
    </w:p>
    <w:p>
      <w:pPr>
        <w:pageBreakBefore w:val="0"/>
        <w:spacing w:after="80" w:line="269" w:lineRule="auto"/>
        <w:ind w:firstLine="397"/>
      </w:pPr>
      <w:r>
        <w:rPr>
          <w:rFonts w:ascii="Times New Roman" w:hAnsi="Times New Roman" w:eastAsia="Times New Roman"/>
          <w:b w:val="0"/>
          <w:i w:val="0"/>
          <w:color w:val="20252B"/>
          <w:sz w:val="20"/>
        </w:rPr>
        <w:t>Социальная система должна включать первичную и специализированную медицину, психологическую помощь, инвалидность, временную нетрудоспособность, пенсионные и страховые механизмы, обучение детей и взрослых, культурные учреждения и помощь при утрате кормильца. Показатели доступности медицины, образования, питания, воды и жилья следует планировать как обязательные уровни жизнеобеспечения, а не как добровольные услуги оператора.</w:t>
      </w:r>
    </w:p>
    <w:p>
      <w:pPr>
        <w:pStyle w:val="Heading2"/>
        <w:keepNext/>
        <w:pageBreakBefore w:val="0"/>
        <w:spacing w:after="40"/>
      </w:pPr>
      <w:r>
        <w:rPr>
          <w:rFonts w:ascii="Times New Roman" w:hAnsi="Times New Roman" w:eastAsia="Times New Roman"/>
          <w:b/>
          <w:i w:val="0"/>
          <w:color w:val="2F5D83"/>
          <w:sz w:val="25"/>
        </w:rPr>
        <w:t>17.6. Семьи, дети, миграция и демография</w:t>
      </w:r>
    </w:p>
    <w:p>
      <w:pPr>
        <w:pageBreakBefore w:val="0"/>
        <w:spacing w:after="80" w:line="269" w:lineRule="auto"/>
        <w:ind w:firstLine="397"/>
      </w:pPr>
      <w:r>
        <w:rPr>
          <w:rFonts w:ascii="Times New Roman" w:hAnsi="Times New Roman" w:eastAsia="Times New Roman"/>
          <w:b w:val="0"/>
          <w:i w:val="0"/>
          <w:color w:val="20252B"/>
          <w:sz w:val="20"/>
        </w:rPr>
        <w:t>Постоянное население меняет правовую модель станции: возникают рождение, усыновление, опека, наследование, семейное имущество и защита ребёнка. До международного соглашения о статусе станции эти вопросы должны быть привязаны к признанному государству гражданства или регистрации, а локальные акты не должны создавать безгражданство или лишать ребёнка права на регистрацию рождения.</w:t>
      </w:r>
    </w:p>
    <w:p>
      <w:pPr>
        <w:pageBreakBefore w:val="0"/>
        <w:spacing w:after="80" w:line="269" w:lineRule="auto"/>
        <w:ind w:firstLine="397"/>
      </w:pPr>
      <w:r>
        <w:rPr>
          <w:rFonts w:ascii="Times New Roman" w:hAnsi="Times New Roman" w:eastAsia="Times New Roman"/>
          <w:b w:val="0"/>
          <w:i w:val="0"/>
          <w:color w:val="20252B"/>
          <w:sz w:val="20"/>
        </w:rPr>
        <w:t>Приём новых жителей должен включать медицинское и психологическое обследование без дискриминации, проверку квалификаций, обучение правилам безопасности, порядок предоставления жилья и понятные условия возвращения или переселения. Демографическое планирование не может превращаться в принудительный контроль репродукции; допустимы только добровольные медицинские рекомендации и обоснованные ограничения, связанные с реальными рисками для матери и ребёнка.</w:t>
      </w:r>
    </w:p>
    <w:p>
      <w:pPr>
        <w:pStyle w:val="Heading2"/>
        <w:keepNext/>
        <w:pageBreakBefore w:val="0"/>
        <w:spacing w:after="40"/>
      </w:pPr>
      <w:r>
        <w:rPr>
          <w:rFonts w:ascii="Times New Roman" w:hAnsi="Times New Roman" w:eastAsia="Times New Roman"/>
          <w:b/>
          <w:i w:val="0"/>
          <w:color w:val="2F5D83"/>
          <w:sz w:val="25"/>
        </w:rPr>
        <w:t>17.7. Данные, приватность и цифровая идентичность</w:t>
      </w:r>
    </w:p>
    <w:p>
      <w:pPr>
        <w:pageBreakBefore w:val="0"/>
        <w:spacing w:after="80" w:line="269" w:lineRule="auto"/>
        <w:ind w:firstLine="397"/>
      </w:pPr>
      <w:r>
        <w:rPr>
          <w:rFonts w:ascii="Times New Roman" w:hAnsi="Times New Roman" w:eastAsia="Times New Roman"/>
          <w:b w:val="0"/>
          <w:i w:val="0"/>
          <w:color w:val="20252B"/>
          <w:sz w:val="20"/>
        </w:rPr>
        <w:t>Станция неизбежно собирает данные доступа, медицинские записи, биометрические признаки, сведения о перемещениях и телеметрию критических систем. Нужны минимизация собираемых данных, разграничение ролей, журналирование доступа, сроки хранения, право исправления записи, процедура экстренного доступа к медицинским данным и независимая проверка использования биометрии. Данные о здоровье и детях должны иметь повышенный уровень защиты.</w:t>
      </w:r>
    </w:p>
    <w:p>
      <w:pPr>
        <w:pStyle w:val="Heading2"/>
        <w:keepNext/>
        <w:pageBreakBefore w:val="0"/>
        <w:spacing w:after="40"/>
      </w:pPr>
      <w:r>
        <w:rPr>
          <w:rFonts w:ascii="Times New Roman" w:hAnsi="Times New Roman" w:eastAsia="Times New Roman"/>
          <w:b/>
          <w:i w:val="0"/>
          <w:color w:val="2F5D83"/>
          <w:sz w:val="25"/>
        </w:rPr>
        <w:t>17.8. Оружие, принуждение и аварийные полномочия</w:t>
      </w:r>
    </w:p>
    <w:p>
      <w:pPr>
        <w:pageBreakBefore w:val="0"/>
        <w:spacing w:after="80" w:line="269" w:lineRule="auto"/>
        <w:ind w:firstLine="397"/>
      </w:pPr>
      <w:r>
        <w:rPr>
          <w:rFonts w:ascii="Times New Roman" w:hAnsi="Times New Roman" w:eastAsia="Times New Roman"/>
          <w:b w:val="0"/>
          <w:i w:val="0"/>
          <w:color w:val="20252B"/>
          <w:sz w:val="20"/>
        </w:rPr>
        <w:t>Постоянное вооружённое формирование на станции не следует считать частью текущего проекта. Средства принуждения, если они необходимы для защиты людей, должны быть минимальными, сертифицированными, учтёнными и доступными ограниченному числу подготовленных сотрудников. Их применение подлежит обязательной записи, медицинскому осмотру участников и последующему независимому расследованию.</w:t>
      </w:r>
    </w:p>
    <w:p>
      <w:pPr>
        <w:pageBreakBefore w:val="0"/>
        <w:spacing w:after="80" w:line="269" w:lineRule="auto"/>
        <w:ind w:firstLine="397"/>
      </w:pPr>
      <w:r>
        <w:rPr>
          <w:rFonts w:ascii="Times New Roman" w:hAnsi="Times New Roman" w:eastAsia="Times New Roman"/>
          <w:b w:val="0"/>
          <w:i w:val="0"/>
          <w:color w:val="20252B"/>
          <w:sz w:val="20"/>
        </w:rPr>
        <w:t>Аварийный руководитель может временно ограничить перемещение, доступ в зоны, использование оборудования и связь, но не получает неограниченной власти. Каждая мера должна иметь основание, время начала, срок действия, критерий отмены и порядок последующего контроля. Система аварийного управления из п. 11.11 должна быть связана с этими социально-правовыми ограничениями.</w:t>
      </w:r>
    </w:p>
    <w:p>
      <w:pPr>
        <w:pStyle w:val="Heading2"/>
        <w:keepNext/>
        <w:pageBreakBefore w:val="0"/>
        <w:spacing w:after="40"/>
      </w:pPr>
      <w:r>
        <w:rPr>
          <w:rFonts w:ascii="Times New Roman" w:hAnsi="Times New Roman" w:eastAsia="Times New Roman"/>
          <w:b/>
          <w:i w:val="0"/>
          <w:color w:val="2F5D83"/>
          <w:sz w:val="25"/>
        </w:rPr>
        <w:t>17.9. Открытые задачи социально-правовой системы</w:t>
      </w:r>
    </w:p>
    <w:p>
      <w:pPr>
        <w:pageBreakBefore w:val="0"/>
        <w:spacing w:after="80" w:line="269" w:lineRule="auto"/>
        <w:ind w:firstLine="397"/>
      </w:pPr>
      <w:r>
        <w:rPr>
          <w:rFonts w:ascii="Times New Roman" w:hAnsi="Times New Roman" w:eastAsia="Times New Roman"/>
          <w:b w:val="0"/>
          <w:i w:val="0"/>
          <w:color w:val="20252B"/>
          <w:sz w:val="20"/>
        </w:rPr>
        <w:t>Не оформлены: проект переходной хартии; структура службы общественной безопасности; матрица передачи уголовных и гражданских дел государству регистрации; правила применения силы; трудовой, жилищный и семейный кодексы; порядок регистрации рождения и смерти; система социального страхования; защита медицинских и биометрических данных; механизм выборного представительства; независимый инспектор и бюджет социального обеспечения. Эти вопросы являются обязательными условиями заселения и не могут считаться решёнными одной декларацией о будущей федерации.</w:t>
      </w:r>
    </w:p>
    <w:p>
      <w:pPr>
        <w:pStyle w:val="Heading1"/>
        <w:keepNext/>
        <w:pageBreakBefore w:val="0"/>
        <w:spacing w:after="40"/>
      </w:pPr>
      <w:r>
        <w:rPr>
          <w:rFonts w:ascii="Times New Roman" w:hAnsi="Times New Roman" w:eastAsia="Times New Roman"/>
          <w:b/>
          <w:i w:val="0"/>
          <w:color w:val="1F3A5F"/>
          <w:sz w:val="30"/>
        </w:rPr>
        <w:t>18. ЯДЕРНАЯ И ТЕРМОЯДЕРНАЯ ЭНЕРГЕТИКА, ТОПЛИВНЫЙ ЦИКЛ И РАДИОАКТИВНЫЕ ОТХОДЫ</w:t>
      </w:r>
    </w:p>
    <w:p>
      <w:pPr>
        <w:pageBreakBefore w:val="0"/>
        <w:spacing w:after="80" w:line="269" w:lineRule="auto"/>
        <w:ind w:firstLine="397"/>
      </w:pPr>
      <w:r>
        <w:rPr>
          <w:rFonts w:ascii="Times New Roman" w:hAnsi="Times New Roman" w:eastAsia="Times New Roman"/>
          <w:b w:val="0"/>
          <w:i w:val="0"/>
          <w:color w:val="20252B"/>
          <w:sz w:val="20"/>
        </w:rPr>
        <w:t>Проект использует термоядерные D–T установки. Наличие трития, нейтронного потока и активируемых конструкций создаёт ядерно-радиологический контур; настоящая глава формулирует требования и задачи квалификации, но не заменяет демонстрацию реактора указанной мощности.</w:t>
      </w:r>
    </w:p>
    <w:p>
      <w:pPr>
        <w:pStyle w:val="Heading2"/>
        <w:keepNext/>
        <w:pageBreakBefore w:val="0"/>
        <w:spacing w:after="40"/>
      </w:pPr>
      <w:r>
        <w:rPr>
          <w:rFonts w:ascii="Times New Roman" w:hAnsi="Times New Roman" w:eastAsia="Times New Roman"/>
          <w:b/>
          <w:i w:val="0"/>
          <w:color w:val="2F5D83"/>
          <w:sz w:val="25"/>
        </w:rPr>
        <w:t>18.1. Границы текущего проекта и терминология</w:t>
      </w:r>
    </w:p>
    <w:p>
      <w:pPr>
        <w:pageBreakBefore w:val="0"/>
        <w:spacing w:after="80" w:line="269" w:lineRule="auto"/>
        <w:ind w:firstLine="397"/>
      </w:pPr>
      <w:r>
        <w:rPr>
          <w:rFonts w:ascii="Times New Roman" w:hAnsi="Times New Roman" w:eastAsia="Times New Roman"/>
          <w:b w:val="0"/>
          <w:i w:val="0"/>
          <w:color w:val="20252B"/>
          <w:sz w:val="20"/>
        </w:rPr>
        <w:t>В проекте не предусмотрены урановый или плутониевый топливный цикл, обогащение, изготовление тепловыделяющих сборок, бассейны выдержки и переработка отработавшего ядерного топлива. Текущая схема должна называться термоядерной только при сохранении D–T реакции и отдельной проверки всех её топливных, радиационных и регуляторных последствий. Если позднее появится делящийся реактор, этот документ перестанет описывать полный энергетический контур без отдельной ядерной программы.</w:t>
      </w:r>
    </w:p>
    <w:p>
      <w:pPr>
        <w:pStyle w:val="Heading2"/>
        <w:keepNext/>
        <w:pageBreakBefore w:val="0"/>
        <w:spacing w:after="40"/>
      </w:pPr>
      <w:r>
        <w:rPr>
          <w:rFonts w:ascii="Times New Roman" w:hAnsi="Times New Roman" w:eastAsia="Times New Roman"/>
          <w:b/>
          <w:i w:val="0"/>
          <w:color w:val="2F5D83"/>
          <w:sz w:val="25"/>
        </w:rPr>
        <w:t>18.2. Топливный цикл D–T</w:t>
      </w:r>
    </w:p>
    <w:p>
      <w:pPr>
        <w:pageBreakBefore w:val="0"/>
        <w:spacing w:after="80" w:line="269" w:lineRule="auto"/>
        <w:ind w:firstLine="397"/>
      </w:pPr>
      <w:r>
        <w:rPr>
          <w:rFonts w:ascii="Times New Roman" w:hAnsi="Times New Roman" w:eastAsia="Times New Roman"/>
          <w:b w:val="0"/>
          <w:i w:val="0"/>
          <w:color w:val="20252B"/>
          <w:sz w:val="20"/>
        </w:rPr>
        <w:t>Пункт 4.13.9 содержит предварительную оценку расхода дейтерий-тритиевого топлива, но не описывает производство, извлечение, очистку, изотопное разделение, хранение, дозирование и возврат топлива. Дейтерий может быть извлечён из воды, но доступность трития не следует считать естественно обеспеченной: необходимы замкнутый контур его возврата и подтверждённая схема наработки в литиевом бланкете или иной лицензируемой системе.</w:t>
      </w:r>
    </w:p>
    <w:p>
      <w:pPr>
        <w:pageBreakBefore w:val="0"/>
        <w:spacing w:after="80" w:line="269" w:lineRule="auto"/>
        <w:ind w:firstLine="397"/>
      </w:pPr>
      <w:r>
        <w:rPr>
          <w:rFonts w:ascii="Times New Roman" w:hAnsi="Times New Roman" w:eastAsia="Times New Roman"/>
          <w:b w:val="0"/>
          <w:i w:val="0"/>
          <w:color w:val="20252B"/>
          <w:sz w:val="20"/>
        </w:rPr>
        <w:t>Для каждого грамма трития должны существовать материальный баланс, двойная оболочка, система обнаружения утечки, детритизация воздуха и воды, контроль загрязнения поверхностей, аварийные ёмкости и порядок передачи данных надзорному органу. Значение расхода топлива и доля воспроизводства трития остаются предварительными и не могут использоваться как принятые характеристики энергетической установки до стендовых испытаний.</w:t>
      </w:r>
    </w:p>
    <w:p>
      <w:pPr>
        <w:pStyle w:val="Heading2"/>
        <w:keepNext/>
        <w:pageBreakBefore w:val="0"/>
        <w:spacing w:after="40"/>
      </w:pPr>
      <w:r>
        <w:rPr>
          <w:rFonts w:ascii="Times New Roman" w:hAnsi="Times New Roman" w:eastAsia="Times New Roman"/>
          <w:b/>
          <w:i w:val="0"/>
          <w:color w:val="2F5D83"/>
          <w:sz w:val="25"/>
        </w:rPr>
        <w:t>18.3. Нейтронный поток, активация и радиационная защита</w:t>
      </w:r>
    </w:p>
    <w:p>
      <w:pPr>
        <w:pageBreakBefore w:val="0"/>
        <w:spacing w:after="80" w:line="269" w:lineRule="auto"/>
        <w:ind w:firstLine="397"/>
      </w:pPr>
      <w:r>
        <w:rPr>
          <w:rFonts w:ascii="Times New Roman" w:hAnsi="Times New Roman" w:eastAsia="Times New Roman"/>
          <w:b w:val="0"/>
          <w:i w:val="0"/>
          <w:color w:val="20252B"/>
          <w:sz w:val="20"/>
        </w:rPr>
        <w:t>D–T реакция создаёт быстрые нейтроны, которые активируют первую стенку, бланкет, магнитные элементы, конструкционные стали, теплообменники и инструменты обслуживания. Требуются расчёт нейтронного источника и дозовых полей, зонирование доступа, индивидуальная дозиметрия, дистанционное обслуживание, время выдержки после остановки, радиационная разведка и квалификация материалов по повреждению нейтронами.</w:t>
      </w:r>
    </w:p>
    <w:p>
      <w:pPr>
        <w:pageBreakBefore w:val="0"/>
        <w:spacing w:after="80" w:line="269" w:lineRule="auto"/>
        <w:ind w:firstLine="397"/>
      </w:pPr>
      <w:r>
        <w:rPr>
          <w:rFonts w:ascii="Times New Roman" w:hAnsi="Times New Roman" w:eastAsia="Times New Roman"/>
          <w:b w:val="0"/>
          <w:i w:val="0"/>
          <w:color w:val="20252B"/>
          <w:sz w:val="20"/>
        </w:rPr>
        <w:t>Защитный расчёт должен учитывать не только поток наружу, но и активацию самих элементов станции, вторичное гамма-излучение, тритиевое загрязнение и сценарии неполного экранирования при ремонте. Расстояние до жилых зон, размещение реакторов, трассы обслуживания и аварийные двери должны быть проверены совместно с планом эвакуации, а не отдельным расчётом энергобаланса.</w:t>
      </w:r>
    </w:p>
    <w:p>
      <w:pPr>
        <w:pStyle w:val="Heading2"/>
        <w:keepNext/>
        <w:pageBreakBefore w:val="0"/>
        <w:spacing w:after="40"/>
      </w:pPr>
      <w:r>
        <w:rPr>
          <w:rFonts w:ascii="Times New Roman" w:hAnsi="Times New Roman" w:eastAsia="Times New Roman"/>
          <w:b/>
          <w:i w:val="0"/>
          <w:color w:val="2F5D83"/>
          <w:sz w:val="25"/>
        </w:rPr>
        <w:t>18.4. Потоки радиоактивных материалов и отходов</w:t>
      </w:r>
    </w:p>
    <w:p>
      <w:pPr>
        <w:pageBreakBefore w:val="0"/>
        <w:spacing w:after="80" w:line="269" w:lineRule="auto"/>
        <w:ind w:firstLine="397"/>
      </w:pPr>
      <w:r>
        <w:rPr>
          <w:rFonts w:ascii="Times New Roman" w:hAnsi="Times New Roman" w:eastAsia="Times New Roman"/>
          <w:b w:val="0"/>
          <w:i w:val="0"/>
          <w:color w:val="20252B"/>
          <w:sz w:val="20"/>
        </w:rPr>
        <w:t>К потенциальным потокам относятся активированные стали и сплавы, элементы первой стенки и бланкета, загрязнённые фильтры и сорбенты, тритиевая вода, газовые смеси, отработанные перчатки и средства защиты, ремонтные инструменты, образцы материалов и технологические растворы. Для каждого потока должны быть определены классификация, упаковка, измерение активности, временное хранение, маршрут перемещения и конечный способ обращения.</w:t>
      </w:r>
    </w:p>
    <w:p>
      <w:pPr>
        <w:pageBreakBefore w:val="0"/>
        <w:spacing w:after="80" w:line="269" w:lineRule="auto"/>
        <w:ind w:firstLine="397"/>
      </w:pPr>
      <w:r>
        <w:rPr>
          <w:rFonts w:ascii="Times New Roman" w:hAnsi="Times New Roman" w:eastAsia="Times New Roman"/>
          <w:b w:val="0"/>
          <w:i w:val="0"/>
          <w:color w:val="20252B"/>
          <w:sz w:val="20"/>
        </w:rPr>
        <w:t>В текущем проекте отсутствует подтверждённый путь вывоза или захоронения радиоактивных отходов. Выброс в космос, сброс в почву астероида или смешивание с обычными отходами не являются допустимыми решениями по умолчанию. Обращение с активированными материалами должно быть согласовано с государством разрешения, государством регистрации и применимыми международными обязательствами.</w:t>
      </w:r>
    </w:p>
    <w:p>
      <w:pPr>
        <w:pStyle w:val="Heading2"/>
        <w:keepNext/>
        <w:pageBreakBefore w:val="0"/>
        <w:spacing w:after="40"/>
      </w:pPr>
      <w:r>
        <w:rPr>
          <w:rFonts w:ascii="Times New Roman" w:hAnsi="Times New Roman" w:eastAsia="Times New Roman"/>
          <w:b/>
          <w:i w:val="0"/>
          <w:color w:val="2F5D83"/>
          <w:sz w:val="25"/>
        </w:rPr>
        <w:t>18.5. Хранение, транспортирование и аварийное реагирование</w:t>
      </w:r>
    </w:p>
    <w:p>
      <w:pPr>
        <w:pageBreakBefore w:val="0"/>
        <w:spacing w:after="80" w:line="269" w:lineRule="auto"/>
        <w:ind w:firstLine="397"/>
      </w:pPr>
      <w:r>
        <w:rPr>
          <w:rFonts w:ascii="Times New Roman" w:hAnsi="Times New Roman" w:eastAsia="Times New Roman"/>
          <w:b w:val="0"/>
          <w:i w:val="0"/>
          <w:color w:val="20252B"/>
          <w:sz w:val="20"/>
        </w:rPr>
        <w:t>На станции должны быть физически отделённые хранилища для трития, активированных компонентов и загрязнённых материалов, с контролем температуры, давления, герметичности, радиационного фона и доступа. Передача материалов между реактором, ремонтной зоной, складом и транспортным аппаратом должна сопровождаться паспортом партии и непрерывной цепочкой учёта.</w:t>
      </w:r>
    </w:p>
    <w:p>
      <w:pPr>
        <w:pageBreakBefore w:val="0"/>
        <w:spacing w:after="80" w:line="269" w:lineRule="auto"/>
        <w:ind w:firstLine="397"/>
      </w:pPr>
      <w:r>
        <w:rPr>
          <w:rFonts w:ascii="Times New Roman" w:hAnsi="Times New Roman" w:eastAsia="Times New Roman"/>
          <w:b w:val="0"/>
          <w:i w:val="0"/>
          <w:color w:val="20252B"/>
          <w:sz w:val="20"/>
        </w:rPr>
        <w:t>Аварийный план обязан охватывать утечку трития, отказ детритизации, повреждение бланкета, пожар в технической зоне, потерю охлаждения, ошибочное открытие радиационного шлюза, выброс в обитаемый объём и потерю связи с оператором. Для каждого сценария необходимы пороговые значения, автоматическое отключение, зона изоляции, средства защиты, медицинская сортировка и порядок уведомления надзорных органов.</w:t>
      </w:r>
    </w:p>
    <w:p>
      <w:pPr>
        <w:pStyle w:val="Heading2"/>
        <w:keepNext/>
        <w:pageBreakBefore w:val="0"/>
        <w:spacing w:after="40"/>
      </w:pPr>
      <w:r>
        <w:rPr>
          <w:rFonts w:ascii="Times New Roman" w:hAnsi="Times New Roman" w:eastAsia="Times New Roman"/>
          <w:b/>
          <w:i w:val="0"/>
          <w:color w:val="2F5D83"/>
          <w:sz w:val="25"/>
        </w:rPr>
        <w:t>18.6. Лицензирование, надзор и независимая приёмка</w:t>
      </w:r>
    </w:p>
    <w:p>
      <w:pPr>
        <w:pageBreakBefore w:val="0"/>
        <w:spacing w:after="80" w:line="269" w:lineRule="auto"/>
        <w:ind w:firstLine="397"/>
      </w:pPr>
      <w:r>
        <w:rPr>
          <w:rFonts w:ascii="Times New Roman" w:hAnsi="Times New Roman" w:eastAsia="Times New Roman"/>
          <w:b w:val="0"/>
          <w:i w:val="0"/>
          <w:color w:val="20252B"/>
          <w:sz w:val="20"/>
        </w:rPr>
        <w:t>Лицензирование должно быть привязано к фактически выбранной технологии: производство и хранение трития, работа с активируемыми материалами, радиационный контроль, транспортирование радиоактивных веществ и эксплуатация энергетической установки могут подпадать под разные режимы. Российский оператор не может заменить разрешения государства регистрации или международные обязательства одной внутренней инструкцией.</w:t>
      </w:r>
    </w:p>
    <w:p>
      <w:pPr>
        <w:pageBreakBefore w:val="0"/>
        <w:spacing w:after="80" w:line="269" w:lineRule="auto"/>
        <w:ind w:firstLine="397"/>
      </w:pPr>
      <w:r>
        <w:rPr>
          <w:rFonts w:ascii="Times New Roman" w:hAnsi="Times New Roman" w:eastAsia="Times New Roman"/>
          <w:b w:val="0"/>
          <w:i w:val="0"/>
          <w:color w:val="20252B"/>
          <w:sz w:val="20"/>
        </w:rPr>
        <w:t>До ввода реакторов в эксплуатацию нужны независимая ядерная и радиационная экспертиза, испытания защитных оболочек, проверка каналов отключения, квалификация материалов, программа дозиметрии, учёт ядерных и радиоактивных материалов, учения персонала и право инспектора остановить установку. Расчётная мощность 366 ГВт на реактор не является основанием для приёмки без экспериментальной базы и сертификационной программы.</w:t>
      </w:r>
    </w:p>
    <w:p>
      <w:pPr>
        <w:pStyle w:val="Heading2"/>
        <w:keepNext/>
        <w:pageBreakBefore w:val="0"/>
        <w:spacing w:after="40"/>
      </w:pPr>
      <w:r>
        <w:rPr>
          <w:rFonts w:ascii="Times New Roman" w:hAnsi="Times New Roman" w:eastAsia="Times New Roman"/>
          <w:b/>
          <w:i w:val="0"/>
          <w:color w:val="2F5D83"/>
          <w:sz w:val="25"/>
        </w:rPr>
        <w:t>18.7. Вывод из эксплуатации и передача ответственности</w:t>
      </w:r>
    </w:p>
    <w:p>
      <w:pPr>
        <w:pageBreakBefore w:val="0"/>
        <w:spacing w:after="80" w:line="269" w:lineRule="auto"/>
        <w:ind w:firstLine="397"/>
      </w:pPr>
      <w:r>
        <w:rPr>
          <w:rFonts w:ascii="Times New Roman" w:hAnsi="Times New Roman" w:eastAsia="Times New Roman"/>
          <w:b w:val="0"/>
          <w:i w:val="0"/>
          <w:color w:val="20252B"/>
          <w:sz w:val="20"/>
        </w:rPr>
        <w:t>План завершения эксплуатации должен включать остановку реакций, удаление или стабилизацию топлива, детритизацию контуров, выдержку активированных деталей, демонтаж с дистанционным управлением, классификацию отходов, очистку помещений, радиационное обследование и долговременный мониторинг. Ответственный оператор, государство разрешения и государство регистрации должны быть определены на каждом этапе.</w:t>
      </w:r>
    </w:p>
    <w:p>
      <w:pPr>
        <w:pageBreakBefore w:val="0"/>
        <w:spacing w:after="80" w:line="269" w:lineRule="auto"/>
        <w:ind w:firstLine="397"/>
      </w:pPr>
      <w:r>
        <w:rPr>
          <w:rFonts w:ascii="Times New Roman" w:hAnsi="Times New Roman" w:eastAsia="Times New Roman"/>
          <w:b w:val="0"/>
          <w:i w:val="0"/>
          <w:color w:val="20252B"/>
          <w:sz w:val="20"/>
        </w:rPr>
        <w:t>Если станция передаётся новому оператору, вместе с инфраструктурой передаются паспорта материалов, дозовые карты, история утечек, реестр трития, данные о наработке компонентов, инструкции аварийного реагирования и финансовое обеспечение обращения с отходами. Передача без полного архива и независимой приёмки не считается безопасным завершением эксплуатации.</w:t>
      </w:r>
    </w:p>
    <w:p>
      <w:pPr>
        <w:pStyle w:val="Heading2"/>
        <w:keepNext/>
        <w:pageBreakBefore w:val="0"/>
        <w:spacing w:after="40"/>
      </w:pPr>
      <w:r>
        <w:rPr>
          <w:rFonts w:ascii="Times New Roman" w:hAnsi="Times New Roman" w:eastAsia="Times New Roman"/>
          <w:b/>
          <w:i w:val="0"/>
          <w:color w:val="2F5D83"/>
          <w:sz w:val="25"/>
        </w:rPr>
        <w:t>18.8. Если в проект будет добавлена делящаяся ядерная установка</w:t>
      </w:r>
    </w:p>
    <w:p>
      <w:pPr>
        <w:pageBreakBefore w:val="0"/>
        <w:spacing w:after="80" w:line="269" w:lineRule="auto"/>
        <w:ind w:firstLine="397"/>
      </w:pPr>
      <w:r>
        <w:rPr>
          <w:rFonts w:ascii="Times New Roman" w:hAnsi="Times New Roman" w:eastAsia="Times New Roman"/>
          <w:b w:val="0"/>
          <w:i w:val="0"/>
          <w:color w:val="20252B"/>
          <w:sz w:val="20"/>
        </w:rPr>
        <w:t>При добавлении реактора деления потребуется отдельный полный топливный цикл: добыча и конверсия сырья, обогащение или получение топлива, изготовление топливных элементов, транспортирование, эксплуатация, хранение отработавшего топлива, возможная переработка, обращение с высокоактивными отходами, физическая защита и гарантии нераспространения. Эти процессы не входят в текущую схему D–T и не могут быть подразумеваемо включены словом «ядерный». До отдельного решения делящийся реактор считается отсутствующим в проекте.</w:t>
      </w:r>
    </w:p>
    <w:p>
      <w:pPr>
        <w:pStyle w:val="Heading2"/>
        <w:keepNext/>
        <w:pageBreakBefore w:val="0"/>
        <w:spacing w:after="40"/>
      </w:pPr>
      <w:r>
        <w:rPr>
          <w:rFonts w:ascii="Times New Roman" w:hAnsi="Times New Roman" w:eastAsia="Times New Roman"/>
          <w:b/>
          <w:i w:val="0"/>
          <w:color w:val="2F5D83"/>
          <w:sz w:val="25"/>
        </w:rPr>
        <w:t>18.9. Открытые ядерно-радиологические задачи</w:t>
      </w:r>
    </w:p>
    <w:p>
      <w:pPr>
        <w:pageBreakBefore w:val="0"/>
        <w:spacing w:after="80" w:line="269" w:lineRule="auto"/>
        <w:ind w:firstLine="397"/>
      </w:pPr>
      <w:r>
        <w:rPr>
          <w:rFonts w:ascii="Times New Roman" w:hAnsi="Times New Roman" w:eastAsia="Times New Roman"/>
          <w:b w:val="0"/>
          <w:i w:val="0"/>
          <w:color w:val="20252B"/>
          <w:sz w:val="20"/>
        </w:rPr>
        <w:t>Не оформлены: выбор подтверждённой термоядерной технологии; схема наработки и возврата трития; материальный баланс топлива; нейтронно-транспортный и дозиметрический расчёт; перечень активируемых материалов; детритизация; классификация и паспортизация отходов; хранилище; маршрут вывоза или захоронения; аварийные сценарии; программа радиационного мониторинга; независимая экспертиза; лицензии и договоры с государством разрешения и государством регистрации; финансовое обеспечение вывода из эксплуатации. До закрытия этих пунктов реакторный контур должен рассматриваться как концептуальный, а не готовый к строительству.</w:t>
      </w:r>
    </w:p>
    <w:p>
      <w:pPr>
        <w:pStyle w:val="Heading1"/>
        <w:keepNext/>
        <w:pageBreakBefore w:val="0"/>
        <w:spacing w:after="40"/>
      </w:pPr>
      <w:r>
        <w:rPr>
          <w:rFonts w:ascii="Times New Roman" w:hAnsi="Times New Roman" w:eastAsia="Times New Roman"/>
          <w:b/>
          <w:i w:val="0"/>
          <w:color w:val="1F3A5F"/>
          <w:sz w:val="30"/>
        </w:rPr>
        <w:t>19. СВОДКА ДОПОЛНИТЕЛЬНЫХ НЕРЕШЁННЫХ СИСТЕМНЫХ ЗАДАЧ</w:t>
      </w:r>
    </w:p>
    <w:p>
      <w:pPr>
        <w:pageBreakBefore w:val="0"/>
        <w:spacing w:after="80" w:line="269" w:lineRule="auto"/>
        <w:ind w:firstLine="397"/>
      </w:pPr>
      <w:r>
        <w:rPr>
          <w:rFonts w:ascii="Times New Roman" w:hAnsi="Times New Roman" w:eastAsia="Times New Roman"/>
          <w:b w:val="0"/>
          <w:i w:val="0"/>
          <w:color w:val="20252B"/>
          <w:sz w:val="20"/>
        </w:rPr>
        <w:t>Остаются задачи, которые требуют испытательных образцов, длительных экспериментов, независимой экспертизы, нормативного решения или изменения исходной архитектуры. Глава фиксирует их как обязательную программу следующей стадии.</w:t>
      </w:r>
    </w:p>
    <w:p>
      <w:pPr>
        <w:pStyle w:val="Heading2"/>
        <w:keepNext/>
        <w:pageBreakBefore w:val="0"/>
        <w:spacing w:after="40"/>
      </w:pPr>
      <w:r>
        <w:rPr>
          <w:rFonts w:ascii="Times New Roman" w:hAnsi="Times New Roman" w:eastAsia="Times New Roman"/>
          <w:b/>
          <w:i w:val="0"/>
          <w:color w:val="2F5D83"/>
          <w:sz w:val="25"/>
        </w:rPr>
        <w:t>19.1. Дефицитные материалы и промышленная реализуемость</w:t>
      </w:r>
    </w:p>
    <w:p>
      <w:pPr>
        <w:pageBreakBefore w:val="0"/>
        <w:spacing w:after="80" w:line="269" w:lineRule="auto"/>
        <w:ind w:firstLine="397"/>
      </w:pPr>
      <w:r>
        <w:rPr>
          <w:rFonts w:ascii="Times New Roman" w:hAnsi="Times New Roman" w:eastAsia="Times New Roman"/>
          <w:b w:val="0"/>
          <w:i w:val="0"/>
          <w:color w:val="20252B"/>
          <w:sz w:val="20"/>
        </w:rPr>
        <w:t>Потребность в молибдене, легирующих добавках, герметиках, магнитных материалах, катализаторах, сорбентах и специальных полимерах должна быть пересчитана по полному жизненному циклу. Один только баланс астероидного сырья не доказывает доступность элемента: требуется указать концентрацию, извлечение, потери, чистоту, энергию передела и возврат в оборот. Для дефицитного молибдена необходимы как минимум три проверяемые ветви: замена сплава, снижение содержания без потери ресурса и отдельная поставка из внешнего источника.</w:t>
      </w:r>
    </w:p>
    <w:p>
      <w:pPr>
        <w:pageBreakBefore w:val="0"/>
        <w:spacing w:after="80" w:line="269" w:lineRule="auto"/>
        <w:ind w:firstLine="397"/>
      </w:pPr>
      <w:r>
        <w:rPr>
          <w:rFonts w:ascii="Times New Roman" w:hAnsi="Times New Roman" w:eastAsia="Times New Roman"/>
          <w:b w:val="0"/>
          <w:i w:val="0"/>
          <w:color w:val="20252B"/>
          <w:sz w:val="20"/>
        </w:rPr>
        <w:t>Следует разработать промышленную цепочку добычи, дробления, обогащения, плавки, разливки, ковки, термообработки, сварки и неразрушающего контроля в условиях станции. Мировые аналоги единичных отливок и сварных конструкций нельзя автоматически масштабировать до оболочки длиной десятки километров. Масса оборудования, расходные материалы, ремонтопригодность и запас инструмента должны входить в материальный и энергетический баланс.</w:t>
      </w:r>
    </w:p>
    <w:p>
      <w:pPr>
        <w:pStyle w:val="Heading2"/>
        <w:keepNext/>
        <w:pageBreakBefore w:val="0"/>
        <w:spacing w:after="40"/>
      </w:pPr>
      <w:r>
        <w:rPr>
          <w:rFonts w:ascii="Times New Roman" w:hAnsi="Times New Roman" w:eastAsia="Times New Roman"/>
          <w:b/>
          <w:i w:val="0"/>
          <w:color w:val="2F5D83"/>
          <w:sz w:val="25"/>
        </w:rPr>
        <w:t>19.2. Полномасштабная механика, прочность и ресурс</w:t>
      </w:r>
    </w:p>
    <w:p>
      <w:pPr>
        <w:pageBreakBefore w:val="0"/>
        <w:spacing w:after="80" w:line="269" w:lineRule="auto"/>
        <w:ind w:firstLine="397"/>
      </w:pPr>
      <w:r>
        <w:rPr>
          <w:rFonts w:ascii="Times New Roman" w:hAnsi="Times New Roman" w:eastAsia="Times New Roman"/>
          <w:b w:val="0"/>
          <w:i w:val="0"/>
          <w:color w:val="20252B"/>
          <w:sz w:val="20"/>
        </w:rPr>
        <w:t>Расчёты оболочки, подшипникового узла и стыка являются предварительными до выполнения независимой конечно-элементной модели с геометрическими нелинейностями, локальными концентраторами, сварными швами, температурными полями, остаточными напряжениями и аварийными режимами. Отдельно должны быть проверены 1 308 МПа окружного напряжения, осевой распор до 10¹⁰ Н, динамика активного кольца Ø400 м, механические ловители и последствия потери магнитного контура.</w:t>
      </w:r>
    </w:p>
    <w:p>
      <w:pPr>
        <w:pageBreakBefore w:val="0"/>
        <w:spacing w:after="80" w:line="269" w:lineRule="auto"/>
        <w:ind w:firstLine="397"/>
      </w:pPr>
      <w:r>
        <w:rPr>
          <w:rFonts w:ascii="Times New Roman" w:hAnsi="Times New Roman" w:eastAsia="Times New Roman"/>
          <w:b w:val="0"/>
          <w:i w:val="0"/>
          <w:color w:val="20252B"/>
          <w:sz w:val="20"/>
        </w:rPr>
        <w:t>До сборки станции необходимы масштабные и полномасштабные демонстраторы: сегмент оболочки с настоящим сварным соединением; узел гермоперехода; подшипниковое кольцо; аварийный ловитель; вращающаяся кабина; температурно-радиационный образец уплотнения. Испытания должны включать миллионы циклов, остановку и повторный разгон, дисбаланс, удар ловителя, утечку и ремонт в удалённом режиме.</w:t>
      </w:r>
    </w:p>
    <w:p>
      <w:pPr>
        <w:pStyle w:val="Heading2"/>
        <w:keepNext/>
        <w:pageBreakBefore w:val="0"/>
        <w:spacing w:after="40"/>
      </w:pPr>
      <w:r>
        <w:rPr>
          <w:rFonts w:ascii="Times New Roman" w:hAnsi="Times New Roman" w:eastAsia="Times New Roman"/>
          <w:b/>
          <w:i w:val="0"/>
          <w:color w:val="2F5D83"/>
          <w:sz w:val="25"/>
        </w:rPr>
        <w:t>19.3. Динамика биосферы и химия замкнутой атмосферы</w:t>
      </w:r>
    </w:p>
    <w:p>
      <w:pPr>
        <w:pageBreakBefore w:val="0"/>
        <w:spacing w:after="80" w:line="269" w:lineRule="auto"/>
        <w:ind w:firstLine="397"/>
      </w:pPr>
      <w:r>
        <w:rPr>
          <w:rFonts w:ascii="Times New Roman" w:hAnsi="Times New Roman" w:eastAsia="Times New Roman"/>
          <w:b w:val="0"/>
          <w:i w:val="0"/>
          <w:color w:val="20252B"/>
          <w:sz w:val="20"/>
        </w:rPr>
        <w:t>Все основные балансы должны быть переведены из стационарной формы в динамическую модель с задержками, запасами, нелинейностями и отказами. Нужны связные модели кислорода, углекислого газа, воды, азота, серы, метана, влажности, температуры, почвенного дыхания, фотосинтеза, технической переработки и поведения населения. Критерий устойчивости — не равенство годовых приходов и расходов, а способность системы пережить длительный отказ и вернуться к безопасному режиму.</w:t>
      </w:r>
    </w:p>
    <w:p>
      <w:pPr>
        <w:pageBreakBefore w:val="0"/>
        <w:spacing w:after="80" w:line="269" w:lineRule="auto"/>
        <w:ind w:firstLine="397"/>
      </w:pPr>
      <w:r>
        <w:rPr>
          <w:rFonts w:ascii="Times New Roman" w:hAnsi="Times New Roman" w:eastAsia="Times New Roman"/>
          <w:b w:val="0"/>
          <w:i w:val="0"/>
          <w:color w:val="20252B"/>
          <w:sz w:val="20"/>
        </w:rPr>
        <w:t>Следовые загрязнители — летучие органические соединения, аммиак, сероводород, метан, озон, альдегиды, аэрозоли, продукты коррозии и микробные метаболиты — требуют перечня источников, сенсоров, предельных концентраций, сорбентов, каталитической очистки и процедур расследования. Для каждого вещества нужен баланс образования и удаления, а не только общий запрет на загрязнение.</w:t>
      </w:r>
    </w:p>
    <w:p>
      <w:pPr>
        <w:pStyle w:val="Heading2"/>
        <w:keepNext/>
        <w:pageBreakBefore w:val="0"/>
        <w:spacing w:after="40"/>
      </w:pPr>
      <w:r>
        <w:rPr>
          <w:rFonts w:ascii="Times New Roman" w:hAnsi="Times New Roman" w:eastAsia="Times New Roman"/>
          <w:b/>
          <w:i w:val="0"/>
          <w:color w:val="2F5D83"/>
          <w:sz w:val="25"/>
        </w:rPr>
        <w:t>19.4. Освещение, сезоны и климатическая устойчивость</w:t>
      </w:r>
    </w:p>
    <w:p>
      <w:pPr>
        <w:pageBreakBefore w:val="0"/>
        <w:spacing w:after="80" w:line="269" w:lineRule="auto"/>
        <w:ind w:firstLine="397"/>
      </w:pPr>
      <w:r>
        <w:rPr>
          <w:rFonts w:ascii="Times New Roman" w:hAnsi="Times New Roman" w:eastAsia="Times New Roman"/>
          <w:b w:val="0"/>
          <w:i w:val="0"/>
          <w:color w:val="20252B"/>
          <w:sz w:val="20"/>
        </w:rPr>
        <w:t>Имитация суточного цикла уже описана, но влияние длительных сезонных режимов на растения, животных, сон, психику, энергопотребление и тепловой баланс не закрыто. Необходимы длительные эксперименты с изменением спектра, фотопериода, облачности, влажности, температурных градиентов и отражательной способности ландшафта. Сезонный сценарий должен иметь аварийный режим без потери урожая и без превышения тепловой мощности осевой светотепловой балки.</w:t>
      </w:r>
    </w:p>
    <w:p>
      <w:pPr>
        <w:pStyle w:val="Heading2"/>
        <w:keepNext/>
        <w:pageBreakBefore w:val="0"/>
        <w:spacing w:after="40"/>
      </w:pPr>
      <w:r>
        <w:rPr>
          <w:rFonts w:ascii="Times New Roman" w:hAnsi="Times New Roman" w:eastAsia="Times New Roman"/>
          <w:b/>
          <w:i w:val="0"/>
          <w:color w:val="2F5D83"/>
          <w:sz w:val="25"/>
        </w:rPr>
        <w:t>19.5. Физиология человека, беременность и развитие детей</w:t>
      </w:r>
    </w:p>
    <w:p>
      <w:pPr>
        <w:pageBreakBefore w:val="0"/>
        <w:spacing w:after="80" w:line="269" w:lineRule="auto"/>
        <w:ind w:firstLine="397"/>
      </w:pPr>
      <w:r>
        <w:rPr>
          <w:rFonts w:ascii="Times New Roman" w:hAnsi="Times New Roman" w:eastAsia="Times New Roman"/>
          <w:b w:val="0"/>
          <w:i w:val="0"/>
          <w:color w:val="20252B"/>
          <w:sz w:val="20"/>
        </w:rPr>
        <w:t>Допущение о пригодности искусственной тяжести не заменяет медицинскую программу. Нужны исследования вестибулярного аппарата, сердечно-сосудистой системы, костей, мышц, зрения, сна, беременности, родов, роста ребёнка, полового созревания и старения при градиенте тяжести от оси к ободу. До получения данных должны быть установлены ограничения по зонам, возрасту, длительности пребывания и медицинским противопоказаниям.</w:t>
      </w:r>
    </w:p>
    <w:p>
      <w:pPr>
        <w:pageBreakBefore w:val="0"/>
        <w:spacing w:after="80" w:line="269" w:lineRule="auto"/>
        <w:ind w:firstLine="397"/>
      </w:pPr>
      <w:r>
        <w:rPr>
          <w:rFonts w:ascii="Times New Roman" w:hAnsi="Times New Roman" w:eastAsia="Times New Roman"/>
          <w:b w:val="0"/>
          <w:i w:val="0"/>
          <w:color w:val="20252B"/>
          <w:sz w:val="20"/>
        </w:rPr>
        <w:t>Медицинская система должна предусматривать телемедицину с Землёй, хирургическую помощь, стоматологию, лабораторную диагностику, инфекционный контроль, фармацевтическое производство и эвакуацию тяжёлого пациента. Нужны запас лекарств и расходных материалов, независимое питание медицинских зон, защита медицинских данных и процедура принятия решений при конфликте интересов между лечением и сохранением критической системы.</w:t>
      </w:r>
    </w:p>
    <w:p>
      <w:pPr>
        <w:pStyle w:val="Heading2"/>
        <w:keepNext/>
        <w:pageBreakBefore w:val="0"/>
        <w:spacing w:after="40"/>
      </w:pPr>
      <w:r>
        <w:rPr>
          <w:rFonts w:ascii="Times New Roman" w:hAnsi="Times New Roman" w:eastAsia="Times New Roman"/>
          <w:b/>
          <w:i w:val="0"/>
          <w:color w:val="2F5D83"/>
          <w:sz w:val="25"/>
        </w:rPr>
        <w:t>19.6. Эпидемиология, карантин и биологическая безопасность</w:t>
      </w:r>
    </w:p>
    <w:p>
      <w:pPr>
        <w:pageBreakBefore w:val="0"/>
        <w:spacing w:after="80" w:line="269" w:lineRule="auto"/>
        <w:ind w:firstLine="397"/>
      </w:pPr>
      <w:r>
        <w:rPr>
          <w:rFonts w:ascii="Times New Roman" w:hAnsi="Times New Roman" w:eastAsia="Times New Roman"/>
          <w:b w:val="0"/>
          <w:i w:val="0"/>
          <w:color w:val="20252B"/>
          <w:sz w:val="20"/>
        </w:rPr>
        <w:t>Замкнутый объём делает любой занос патогена одновременно медицинским и инженерным событием. Необходимы карантинные контуры для экипажа, грузов, образцов и возвращаемых материалов; независимый воздух и стоки; лаборатории ранней диагностики; запас средств защиты; процедура контактного расследования; ограничения перемещения и коммуникации при вспышке. Чистые зоны должны быть связаны с планетарной защитой, а не существовать только как режим уборки.</w:t>
      </w:r>
    </w:p>
    <w:p>
      <w:pPr>
        <w:pageBreakBefore w:val="0"/>
        <w:spacing w:after="80" w:line="269" w:lineRule="auto"/>
        <w:ind w:firstLine="397"/>
      </w:pPr>
      <w:r>
        <w:rPr>
          <w:rFonts w:ascii="Times New Roman" w:hAnsi="Times New Roman" w:eastAsia="Times New Roman"/>
          <w:b w:val="0"/>
          <w:i w:val="0"/>
          <w:color w:val="20252B"/>
          <w:sz w:val="20"/>
        </w:rPr>
        <w:t>Перенос земной почвенной биоты требует отдельной оценки устойчивости экосистемы и риска вытеснения полезных видов. В проекте должны быть реестр намеренно внесённых организмов, система обнаружения незапланированных видов, банк образцов, правила биологического эксперимента и процедура остановки работ при появлении неизвестного патогена или инвазивного организма.</w:t>
      </w:r>
    </w:p>
    <w:p>
      <w:pPr>
        <w:pStyle w:val="Heading2"/>
        <w:keepNext/>
        <w:pageBreakBefore w:val="0"/>
        <w:spacing w:after="40"/>
      </w:pPr>
      <w:r>
        <w:rPr>
          <w:rFonts w:ascii="Times New Roman" w:hAnsi="Times New Roman" w:eastAsia="Times New Roman"/>
          <w:b/>
          <w:i w:val="0"/>
          <w:color w:val="2F5D83"/>
          <w:sz w:val="25"/>
        </w:rPr>
        <w:t>19.7. Пожар, дым и токсикология материалов</w:t>
      </w:r>
    </w:p>
    <w:p>
      <w:pPr>
        <w:pageBreakBefore w:val="0"/>
        <w:spacing w:after="80" w:line="269" w:lineRule="auto"/>
        <w:ind w:firstLine="397"/>
      </w:pPr>
      <w:r>
        <w:rPr>
          <w:rFonts w:ascii="Times New Roman" w:hAnsi="Times New Roman" w:eastAsia="Times New Roman"/>
          <w:b w:val="0"/>
          <w:i w:val="0"/>
          <w:color w:val="20252B"/>
          <w:sz w:val="20"/>
        </w:rPr>
        <w:t>Запрет открытого горения не устраняет риск короткого замыкания, перегрева, тления, пиролиза полимеров, возгорания кабелей, аккумуляторов, водорода и органического сырья. Для всех материалов нужны испытания горючести, дымообразования, токсичности продуктов разложения, скорости распространения огня и пригодности средств тушения в искусственной тяжести. Система должна уметь изолировать секцию, сохранить дыхательную атмосферу соседних секций и не создать вторичное отравление огнетушащим веществом.</w:t>
      </w:r>
    </w:p>
    <w:p>
      <w:pPr>
        <w:pStyle w:val="Heading2"/>
        <w:keepNext/>
        <w:pageBreakBefore w:val="0"/>
        <w:spacing w:after="40"/>
      </w:pPr>
      <w:r>
        <w:rPr>
          <w:rFonts w:ascii="Times New Roman" w:hAnsi="Times New Roman" w:eastAsia="Times New Roman"/>
          <w:b/>
          <w:i w:val="0"/>
          <w:color w:val="2F5D83"/>
          <w:sz w:val="25"/>
        </w:rPr>
        <w:t>19.8. Энергетические, тепловые и водные переходные режимы</w:t>
      </w:r>
    </w:p>
    <w:p>
      <w:pPr>
        <w:pageBreakBefore w:val="0"/>
        <w:spacing w:after="80" w:line="269" w:lineRule="auto"/>
        <w:ind w:firstLine="397"/>
      </w:pPr>
      <w:r>
        <w:rPr>
          <w:rFonts w:ascii="Times New Roman" w:hAnsi="Times New Roman" w:eastAsia="Times New Roman"/>
          <w:b w:val="0"/>
          <w:i w:val="0"/>
          <w:color w:val="20252B"/>
          <w:sz w:val="20"/>
        </w:rPr>
        <w:t>Годовой энергобаланс не доказывает устойчивость к быстрому изменению нагрузки. Нужны сценарии чёрного пуска, потери одного и нескольких реакторов, ступенчатого отключения освещения, разрыва холодного контура, перегрева радиаторов, замерзания технических зон, выхода из строя аккумуляторов и повторного подключения крупных потребителей. В каждом сценарии должны быть минимальные уровни воздуха, воды, тепла, связи и освещения.</w:t>
      </w:r>
    </w:p>
    <w:p>
      <w:pPr>
        <w:pageBreakBefore w:val="0"/>
        <w:spacing w:after="80" w:line="269" w:lineRule="auto"/>
        <w:ind w:firstLine="397"/>
      </w:pPr>
      <w:r>
        <w:rPr>
          <w:rFonts w:ascii="Times New Roman" w:hAnsi="Times New Roman" w:eastAsia="Times New Roman"/>
          <w:b w:val="0"/>
          <w:i w:val="0"/>
          <w:color w:val="20252B"/>
          <w:sz w:val="20"/>
        </w:rPr>
        <w:t>Водный цикл требуется моделировать по часам и суткам: утечки, конденсация, очистка, аварийный запас, загрязнение, разделение питьевой и технической воды, пожарный запас, орошение и потребности промышленности. Восстановление после потери одного очистного каскада должно быть проверено физическим демонстратором, а не только резервированием насосов.</w:t>
      </w:r>
    </w:p>
    <w:p>
      <w:pPr>
        <w:pStyle w:val="Heading2"/>
        <w:keepNext/>
        <w:pageBreakBefore w:val="0"/>
        <w:spacing w:after="40"/>
      </w:pPr>
      <w:r>
        <w:rPr>
          <w:rFonts w:ascii="Times New Roman" w:hAnsi="Times New Roman" w:eastAsia="Times New Roman"/>
          <w:b/>
          <w:i w:val="0"/>
          <w:color w:val="2F5D83"/>
          <w:sz w:val="25"/>
        </w:rPr>
        <w:t>19.9. Транспорт, грузопоток и спасение</w:t>
      </w:r>
    </w:p>
    <w:p>
      <w:pPr>
        <w:pageBreakBefore w:val="0"/>
        <w:spacing w:after="80" w:line="269" w:lineRule="auto"/>
        <w:ind w:firstLine="397"/>
      </w:pPr>
      <w:r>
        <w:rPr>
          <w:rFonts w:ascii="Times New Roman" w:hAnsi="Times New Roman" w:eastAsia="Times New Roman"/>
          <w:b w:val="0"/>
          <w:i w:val="0"/>
          <w:color w:val="20252B"/>
          <w:sz w:val="20"/>
        </w:rPr>
        <w:t>Пропускная способность шахт и коридоров должна быть сверена не только с заселением, но и с массовой эвакуацией, медицинской транспортировкой, пожарными составами, грузами, ремонтными бригадами и встречным движением. Требуются расписание при норме и аварии, приоритеты, места укрытия, торможение при потере питания, ручное управление, спасение кабины и совместимость с карантином.</w:t>
      </w:r>
    </w:p>
    <w:p>
      <w:pPr>
        <w:pageBreakBefore w:val="0"/>
        <w:spacing w:after="80" w:line="269" w:lineRule="auto"/>
        <w:ind w:firstLine="397"/>
      </w:pPr>
      <w:r>
        <w:rPr>
          <w:rFonts w:ascii="Times New Roman" w:hAnsi="Times New Roman" w:eastAsia="Times New Roman"/>
          <w:b w:val="0"/>
          <w:i w:val="0"/>
          <w:color w:val="20252B"/>
          <w:sz w:val="20"/>
        </w:rPr>
        <w:t>Стыковка внешнего аппарата, выгрузка топлива и сырья, приём загрязнённого груза, возврат образцов и транспорт между цилиндрами должны иметь разные протоколы. Нельзя считать один причальный интерфейс достаточным только потому, что он геометрически совместим: нужна проверка давления, вращения, электрики, радиации, пожарной безопасности и цепочки ответственности перевозчика.</w:t>
      </w:r>
    </w:p>
    <w:p>
      <w:pPr>
        <w:pStyle w:val="Heading2"/>
        <w:keepNext/>
        <w:pageBreakBefore w:val="0"/>
        <w:spacing w:after="40"/>
      </w:pPr>
      <w:r>
        <w:rPr>
          <w:rFonts w:ascii="Times New Roman" w:hAnsi="Times New Roman" w:eastAsia="Times New Roman"/>
          <w:b/>
          <w:i w:val="0"/>
          <w:color w:val="2F5D83"/>
          <w:sz w:val="25"/>
        </w:rPr>
        <w:t>19.10. Орбитальная навигация, связь и космическая среда</w:t>
      </w:r>
    </w:p>
    <w:p>
      <w:pPr>
        <w:pageBreakBefore w:val="0"/>
        <w:spacing w:after="80" w:line="269" w:lineRule="auto"/>
        <w:ind w:firstLine="397"/>
      </w:pPr>
      <w:r>
        <w:rPr>
          <w:rFonts w:ascii="Times New Roman" w:hAnsi="Times New Roman" w:eastAsia="Times New Roman"/>
          <w:b w:val="0"/>
          <w:i w:val="0"/>
          <w:color w:val="20252B"/>
          <w:sz w:val="20"/>
        </w:rPr>
        <w:t>Для положения в L1 нужны независимые эфемериды, навигационные датчики, синхронизация времени, автономное определение ориентации, коррекция станции и безопасный режим при потере связи с Землёй. Система должна учитывать солнечную активность, радиационные события, плазменные возмущения, микрометеороиды, космический мусор и ограничения на работу антенн и внешних механизмов.</w:t>
      </w:r>
    </w:p>
    <w:p>
      <w:pPr>
        <w:pageBreakBefore w:val="0"/>
        <w:spacing w:after="80" w:line="269" w:lineRule="auto"/>
        <w:ind w:firstLine="397"/>
      </w:pPr>
      <w:r>
        <w:rPr>
          <w:rFonts w:ascii="Times New Roman" w:hAnsi="Times New Roman" w:eastAsia="Times New Roman"/>
          <w:b w:val="0"/>
          <w:i w:val="0"/>
          <w:color w:val="20252B"/>
          <w:sz w:val="20"/>
        </w:rPr>
        <w:t>Связной контур должен иметь раздельные каналы управления, научных данных, аварийного оповещения и бытового трафика. Нужны протоколы задержки 5 секунд в одну сторону, очередность сообщений, аутентификация команд, независимая запись телеметрии и возможность безопасно продолжать эксплуатацию без связи с Землёй в течение заранее установленного времени.</w:t>
      </w:r>
    </w:p>
    <w:p>
      <w:pPr>
        <w:pStyle w:val="Heading2"/>
        <w:keepNext/>
        <w:pageBreakBefore w:val="0"/>
        <w:spacing w:after="40"/>
      </w:pPr>
      <w:r>
        <w:rPr>
          <w:rFonts w:ascii="Times New Roman" w:hAnsi="Times New Roman" w:eastAsia="Times New Roman"/>
          <w:b/>
          <w:i w:val="0"/>
          <w:color w:val="2F5D83"/>
          <w:sz w:val="25"/>
        </w:rPr>
        <w:t>19.11. Программное обеспечение, цифровая модель и данные</w:t>
      </w:r>
    </w:p>
    <w:p>
      <w:pPr>
        <w:pageBreakBefore w:val="0"/>
        <w:spacing w:after="80" w:line="269" w:lineRule="auto"/>
        <w:ind w:firstLine="397"/>
      </w:pPr>
      <w:r>
        <w:rPr>
          <w:rFonts w:ascii="Times New Roman" w:hAnsi="Times New Roman" w:eastAsia="Times New Roman"/>
          <w:b w:val="0"/>
          <w:i w:val="0"/>
          <w:color w:val="20252B"/>
          <w:sz w:val="20"/>
        </w:rPr>
        <w:t>Для каждой критической функции необходимы идентификатор требования, источник, версия, проверяемый критерий, результат испытания и утверждённый владелец. Расчётные скрипты, модели, исходные данные и генераторы рисунков должны иметь контроль версий, воспроизводимую среду, журнал изменений и независимую проверку. Результат программы без зафиксированной версии входных данных не может считаться доказательством.</w:t>
      </w:r>
    </w:p>
    <w:p>
      <w:pPr>
        <w:pageBreakBefore w:val="0"/>
        <w:spacing w:after="80" w:line="269" w:lineRule="auto"/>
        <w:ind w:firstLine="397"/>
      </w:pPr>
      <w:r>
        <w:rPr>
          <w:rFonts w:ascii="Times New Roman" w:hAnsi="Times New Roman" w:eastAsia="Times New Roman"/>
          <w:b w:val="0"/>
          <w:i w:val="0"/>
          <w:color w:val="20252B"/>
          <w:sz w:val="20"/>
        </w:rPr>
        <w:t>Цифровой двойник станции должен поддерживать не только красивую визуализацию, но и сценарии отказов: давление, вращение, тепловой баланс, транспорт, энергетику, атмосферу, биосферу и связь. Необходимо разделить модель для проектирования, модель для обучения и модель, допущенную к управлению реальным объектом; обновление последней должно проходить независимую валидацию.</w:t>
      </w:r>
    </w:p>
    <w:p>
      <w:pPr>
        <w:pStyle w:val="Heading2"/>
        <w:keepNext/>
        <w:pageBreakBefore w:val="0"/>
        <w:spacing w:after="40"/>
      </w:pPr>
      <w:r>
        <w:rPr>
          <w:rFonts w:ascii="Times New Roman" w:hAnsi="Times New Roman" w:eastAsia="Times New Roman"/>
          <w:b/>
          <w:i w:val="0"/>
          <w:color w:val="2F5D83"/>
          <w:sz w:val="25"/>
        </w:rPr>
        <w:t>19.12. Производство, качество и цепочка поставок</w:t>
      </w:r>
    </w:p>
    <w:p>
      <w:pPr>
        <w:pageBreakBefore w:val="0"/>
        <w:spacing w:after="80" w:line="269" w:lineRule="auto"/>
        <w:ind w:firstLine="397"/>
      </w:pPr>
      <w:r>
        <w:rPr>
          <w:rFonts w:ascii="Times New Roman" w:hAnsi="Times New Roman" w:eastAsia="Times New Roman"/>
          <w:b w:val="0"/>
          <w:i w:val="0"/>
          <w:color w:val="20252B"/>
          <w:sz w:val="20"/>
        </w:rPr>
        <w:t>До изготовления первого цилиндра требуется план качества: квалификация поставщиков, сертификаты сырья, прослеживаемость плавки и сварки, калибровка измерительного оборудования, неразрушающий контроль, контроль загрязнений, хранение электронных записей и независимый инспектор. Для узлов первой категории должна быть известна не только проектная прочность, но и допустимая дефектность, критерии брака и порядок ремонта.</w:t>
      </w:r>
    </w:p>
    <w:p>
      <w:pPr>
        <w:pageBreakBefore w:val="0"/>
        <w:spacing w:after="80" w:line="269" w:lineRule="auto"/>
        <w:ind w:firstLine="397"/>
      </w:pPr>
      <w:r>
        <w:rPr>
          <w:rFonts w:ascii="Times New Roman" w:hAnsi="Times New Roman" w:eastAsia="Times New Roman"/>
          <w:b w:val="0"/>
          <w:i w:val="0"/>
          <w:color w:val="20252B"/>
          <w:sz w:val="20"/>
        </w:rPr>
        <w:t>Запасные части и расходные материалы должны быть рассчитаны на весь срок эксплуатации с учётом деградации поставщиков, смены технологий, отказа внешней торговли и невозможности быстро доставить деталь с Земли. Для каждой критической детали нужен либо запас на станции, либо возможность изготовления из доступного сырья, либо приемлемый безопасный режим без неё.</w:t>
      </w:r>
    </w:p>
    <w:p>
      <w:pPr>
        <w:pStyle w:val="Heading2"/>
        <w:keepNext/>
        <w:pageBreakBefore w:val="0"/>
        <w:spacing w:after="40"/>
      </w:pPr>
      <w:r>
        <w:rPr>
          <w:rFonts w:ascii="Times New Roman" w:hAnsi="Times New Roman" w:eastAsia="Times New Roman"/>
          <w:b/>
          <w:i w:val="0"/>
          <w:color w:val="2F5D83"/>
          <w:sz w:val="25"/>
        </w:rPr>
        <w:t>19.13. Эксплуатация, обучение и человеческий фактор</w:t>
      </w:r>
    </w:p>
    <w:p>
      <w:pPr>
        <w:pageBreakBefore w:val="0"/>
        <w:spacing w:after="80" w:line="269" w:lineRule="auto"/>
        <w:ind w:firstLine="397"/>
      </w:pPr>
      <w:r>
        <w:rPr>
          <w:rFonts w:ascii="Times New Roman" w:hAnsi="Times New Roman" w:eastAsia="Times New Roman"/>
          <w:b w:val="0"/>
          <w:i w:val="0"/>
          <w:color w:val="20252B"/>
          <w:sz w:val="20"/>
        </w:rPr>
        <w:t>Нужна матрица компетенций для экипажа, операторов, медиков, инспекторов, ремонтников и руководителей аварий. Она должна включать первоначальное обучение, регулярную сертификацию, тренажёры, работу в сменах, усталость, передачу дежурства, языковые правила, контроль доступа и право остановить опасную операцию. Надёжность автоматики не отменяет требований к понятности интерфейсов и совместимости действий разных служб.</w:t>
      </w:r>
    </w:p>
    <w:p>
      <w:pPr>
        <w:pStyle w:val="Heading2"/>
        <w:keepNext/>
        <w:pageBreakBefore w:val="0"/>
        <w:spacing w:after="40"/>
      </w:pPr>
      <w:r>
        <w:rPr>
          <w:rFonts w:ascii="Times New Roman" w:hAnsi="Times New Roman" w:eastAsia="Times New Roman"/>
          <w:b/>
          <w:i w:val="0"/>
          <w:color w:val="2F5D83"/>
          <w:sz w:val="25"/>
        </w:rPr>
        <w:t>19.14. Финансирование, страхование и закупки</w:t>
      </w:r>
    </w:p>
    <w:p>
      <w:pPr>
        <w:pageBreakBefore w:val="0"/>
        <w:spacing w:after="80" w:line="269" w:lineRule="auto"/>
        <w:ind w:firstLine="397"/>
      </w:pPr>
      <w:r>
        <w:rPr>
          <w:rFonts w:ascii="Times New Roman" w:hAnsi="Times New Roman" w:eastAsia="Times New Roman"/>
          <w:b w:val="0"/>
          <w:i w:val="0"/>
          <w:color w:val="20252B"/>
          <w:sz w:val="20"/>
        </w:rPr>
        <w:t>Экономический раздел правильно указывает невозможность текущей денежной оценки, но для перехода к проектированию понадобится финансовая модель по этапам: научно-исследовательская программа, демонстраторы, добыча, запуск, сборка, испытания, заселение, эксплуатация и вывод из эксплуатации. Нужны источники капитала, порядок владения, закупочные правила, страхование ответственности, покрытие аварий и резерв на неизвестные расходы.</w:t>
      </w:r>
    </w:p>
    <w:p>
      <w:pPr>
        <w:pageBreakBefore w:val="0"/>
        <w:spacing w:after="80" w:line="269" w:lineRule="auto"/>
        <w:ind w:firstLine="397"/>
      </w:pPr>
      <w:r>
        <w:rPr>
          <w:rFonts w:ascii="Times New Roman" w:hAnsi="Times New Roman" w:eastAsia="Times New Roman"/>
          <w:b w:val="0"/>
          <w:i w:val="0"/>
          <w:color w:val="20252B"/>
          <w:sz w:val="20"/>
        </w:rPr>
        <w:t>Договоры должны разделять стоимость и ответственность между российским оператором, перевозчиком, подрядчиками, государством разрешения и государством регистрации. Необходимо отдельно проверить экспортный контроль, передачу технологий, режимы связи, радиочастоты, страхование радиоактивных материалов, трудовые отношения и признание документов жителей разных государств.</w:t>
      </w:r>
    </w:p>
    <w:p>
      <w:pPr>
        <w:pStyle w:val="Heading2"/>
        <w:keepNext/>
        <w:pageBreakBefore w:val="0"/>
        <w:spacing w:after="40"/>
      </w:pPr>
      <w:r>
        <w:rPr>
          <w:rFonts w:ascii="Times New Roman" w:hAnsi="Times New Roman" w:eastAsia="Times New Roman"/>
          <w:b/>
          <w:i w:val="0"/>
          <w:color w:val="2F5D83"/>
          <w:sz w:val="25"/>
        </w:rPr>
        <w:t>19.15. Измерения и неопределённости</w:t>
      </w:r>
    </w:p>
    <w:p>
      <w:pPr>
        <w:pageBreakBefore w:val="0"/>
        <w:spacing w:after="80" w:line="269" w:lineRule="auto"/>
        <w:ind w:firstLine="397"/>
      </w:pPr>
      <w:r>
        <w:rPr>
          <w:rFonts w:ascii="Times New Roman" w:hAnsi="Times New Roman" w:eastAsia="Times New Roman"/>
          <w:b w:val="0"/>
          <w:i w:val="0"/>
          <w:color w:val="20252B"/>
          <w:sz w:val="20"/>
        </w:rPr>
        <w:t>Для ключевых величин должны быть указаны диапазон неопределённости, чувствительность результата и статус: измерено, взято из источника, вычислено, принято как допущение или является иллюстративной оценкой. Эти категории следует фиксировать в таблицах и учитывать в итоговых балансах.</w:t>
      </w:r>
    </w:p>
    <w:p>
      <w:pPr>
        <w:pageBreakBefore w:val="0"/>
        <w:spacing w:after="80" w:line="269" w:lineRule="auto"/>
        <w:ind w:firstLine="397"/>
      </w:pPr>
      <w:r>
        <w:rPr>
          <w:rFonts w:ascii="Times New Roman" w:hAnsi="Times New Roman" w:eastAsia="Times New Roman"/>
          <w:b w:val="0"/>
          <w:i w:val="0"/>
          <w:color w:val="20252B"/>
          <w:sz w:val="20"/>
        </w:rPr>
        <w:t>Для критических величин требуется бюджет неопределённости: радиус и толщина оболочки, напряжение, баланс кислорода и углекислого газа, производительность биореакторов, расход воды, площадь радиаторов, мощность реакторов, доля открытого металла, дозовая нагрузка и пропускная способность эвакуации. Значения с большим числом значащих цифр без такого бюджета должны быть округлены.</w:t>
      </w:r>
    </w:p>
    <w:p>
      <w:pPr>
        <w:pStyle w:val="Heading2"/>
        <w:keepNext/>
        <w:pageBreakBefore w:val="0"/>
        <w:spacing w:after="40"/>
      </w:pPr>
      <w:r>
        <w:rPr>
          <w:rFonts w:ascii="Times New Roman" w:hAnsi="Times New Roman" w:eastAsia="Times New Roman"/>
          <w:b/>
          <w:i w:val="0"/>
          <w:color w:val="2F5D83"/>
          <w:sz w:val="25"/>
        </w:rPr>
        <w:t>19.16. Ворота готовности проекта</w:t>
      </w:r>
    </w:p>
    <w:p>
      <w:pPr>
        <w:pageBreakBefore w:val="0"/>
        <w:spacing w:after="80" w:line="269" w:lineRule="auto"/>
        <w:ind w:firstLine="397"/>
      </w:pPr>
      <w:r>
        <w:rPr>
          <w:rFonts w:ascii="Times New Roman" w:hAnsi="Times New Roman" w:eastAsia="Times New Roman"/>
          <w:b w:val="0"/>
          <w:i w:val="0"/>
          <w:color w:val="20252B"/>
          <w:sz w:val="20"/>
        </w:rPr>
        <w:t>Переход к следующей стадии должен происходить через формальные ворота. Ворота 0 — утверждённые требования и границы ответственности. Ворота 1 — проверенная физическая концепция и баланс ресурсов. Ворота 2 — демонстраторы критических технологий. Ворота 3 — предварительный проект с независимой экспертизой. Ворота 4 — рабочая конструкторская документация и квалифицированные поставщики. Ворота 5 — сборка, беспилотные испытания и сертификация. Ворота 6 — ввод экипажа после независимого акта готовности. Ни заселение, ни заявление о государственности не должны использоваться как замена пропущенному техническому воротному решению.</w:t>
      </w:r>
    </w:p>
    <w:p>
      <w:pPr>
        <w:pageBreakBefore w:val="0"/>
        <w:spacing w:after="80" w:line="269" w:lineRule="auto"/>
        <w:ind w:firstLine="397"/>
      </w:pPr>
      <w:r>
        <w:rPr>
          <w:rFonts w:ascii="Times New Roman" w:hAnsi="Times New Roman" w:eastAsia="Times New Roman"/>
          <w:b w:val="0"/>
          <w:i w:val="0"/>
          <w:color w:val="20252B"/>
          <w:sz w:val="20"/>
        </w:rPr>
        <w:t>До прохождения этих ворот документ остаётся концептуальным проектом. Открытые задачи не являются недостатком оформления: они являются частью достоверного результата, поскольку показывают, какие положения требуют эксперимента, договора, лицензии или нового расчёта.</w:t>
      </w:r>
    </w:p>
    <w:p>
      <w:pPr>
        <w:pStyle w:val="Heading1"/>
        <w:keepNext/>
        <w:pageBreakBefore w:val="0"/>
        <w:spacing w:after="40"/>
        <w:jc w:val="left"/>
      </w:pPr>
      <w:r>
        <w:rPr>
          <w:rFonts w:ascii="Times New Roman" w:hAnsi="Times New Roman" w:eastAsia="Times New Roman"/>
          <w:b/>
          <w:i w:val="0"/>
          <w:color w:val="1F3A5F"/>
          <w:sz w:val="30"/>
        </w:rPr>
        <w:t>ПРИЛОЖЕНИЕ В. ПЕРЕЧЕНЬ СОКРАЩЕНИЙ И ОБОЗНАЧЕНИЙ</w:t>
      </w:r>
    </w:p>
    <w:p>
      <w:pPr>
        <w:pageBreakBefore w:val="0"/>
        <w:spacing w:after="80" w:line="269" w:lineRule="auto"/>
        <w:ind w:firstLine="397"/>
        <w:jc w:val="both"/>
      </w:pPr>
      <w:r>
        <w:rPr>
          <w:rFonts w:ascii="Times New Roman" w:hAnsi="Times New Roman" w:eastAsia="Times New Roman"/>
          <w:b w:val="0"/>
          <w:i w:val="0"/>
          <w:color w:val="20252B"/>
          <w:sz w:val="20"/>
        </w:rPr>
        <w:t>ММОСО’Н — модуль моделирования орбитальной станции О’Нилла.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pageBreakBefore w:val="0"/>
        <w:spacing w:after="80" w:line="269" w:lineRule="auto"/>
        <w:ind w:firstLine="397"/>
        <w:jc w:val="both"/>
      </w:pPr>
      <w:r>
        <w:rPr>
          <w:rFonts w:ascii="Times New Roman" w:hAnsi="Times New Roman" w:eastAsia="Times New Roman"/>
          <w:b w:val="0"/>
          <w:i w:val="0"/>
          <w:color w:val="20252B"/>
          <w:sz w:val="20"/>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pStyle w:val="Heading1"/>
        <w:keepNext/>
        <w:pageBreakBefore w:val="0"/>
        <w:spacing w:after="40"/>
        <w:jc w:val="left"/>
      </w:pPr>
      <w:r>
        <w:rPr>
          <w:rFonts w:ascii="Times New Roman" w:hAnsi="Times New Roman" w:eastAsia="Times New Roman"/>
          <w:b/>
          <w:i w:val="0"/>
          <w:color w:val="1F3A5F"/>
          <w:sz w:val="30"/>
        </w:rPr>
        <w:t>ПРИЛОЖЕНИЕ Г. ИСТОЧНИКИ</w:t>
      </w:r>
    </w:p>
    <w:p>
      <w:pPr>
        <w:pageBreakBefore w:val="0"/>
        <w:spacing w:after="80" w:line="269" w:lineRule="auto"/>
        <w:ind w:firstLine="397"/>
        <w:jc w:val="both"/>
      </w:pPr>
      <w:r>
        <w:rPr>
          <w:rFonts w:ascii="Times New Roman" w:hAnsi="Times New Roman" w:eastAsia="Times New Roman"/>
          <w:b w:val="0"/>
          <w:i w:val="0"/>
          <w:color w:val="20252B"/>
          <w:sz w:val="20"/>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pageBreakBefore w:val="0"/>
        <w:spacing w:after="80" w:line="269" w:lineRule="auto"/>
        <w:ind w:firstLine="397"/>
        <w:jc w:val="both"/>
      </w:pPr>
      <w:r>
        <w:rPr>
          <w:rFonts w:ascii="Times New Roman" w:hAnsi="Times New Roman" w:eastAsia="Times New Roman"/>
          <w:b w:val="0"/>
          <w:i w:val="0"/>
          <w:color w:val="20252B"/>
          <w:sz w:val="20"/>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pageBreakBefore w:val="0"/>
        <w:spacing w:after="80" w:line="269" w:lineRule="auto"/>
        <w:ind w:firstLine="397"/>
        <w:jc w:val="both"/>
      </w:pPr>
      <w:r>
        <w:rPr>
          <w:rFonts w:ascii="Times New Roman" w:hAnsi="Times New Roman" w:eastAsia="Times New Roman"/>
          <w:b w:val="0"/>
          <w:i w:val="0"/>
          <w:color w:val="20252B"/>
          <w:sz w:val="20"/>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pageBreakBefore w:val="0"/>
        <w:spacing w:after="80" w:line="269" w:lineRule="auto"/>
        <w:ind w:firstLine="397"/>
        <w:jc w:val="both"/>
      </w:pPr>
      <w:r>
        <w:rPr>
          <w:rFonts w:ascii="Times New Roman" w:hAnsi="Times New Roman" w:eastAsia="Times New Roman"/>
          <w:b w:val="0"/>
          <w:i w:val="0"/>
          <w:color w:val="20252B"/>
          <w:sz w:val="20"/>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pageBreakBefore w:val="0"/>
        <w:spacing w:after="80" w:line="269" w:lineRule="auto"/>
        <w:ind w:firstLine="397"/>
        <w:jc w:val="both"/>
      </w:pPr>
      <w:r>
        <w:rPr>
          <w:rFonts w:ascii="Times New Roman" w:hAnsi="Times New Roman" w:eastAsia="Times New Roman"/>
          <w:b w:val="0"/>
          <w:i w:val="0"/>
          <w:color w:val="20252B"/>
          <w:sz w:val="20"/>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pageBreakBefore w:val="0"/>
        <w:spacing w:after="80" w:line="269" w:lineRule="auto"/>
        <w:ind w:firstLine="397"/>
        <w:jc w:val="both"/>
      </w:pPr>
      <w:r>
        <w:rPr>
          <w:rFonts w:ascii="Times New Roman" w:hAnsi="Times New Roman" w:eastAsia="Times New Roman"/>
          <w:b w:val="0"/>
          <w:i w:val="0"/>
          <w:color w:val="20252B"/>
          <w:sz w:val="20"/>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p>
      <w:pPr>
        <w:spacing w:after="80"/>
      </w:pPr>
      <w:r>
        <w:rPr>
          <w:rFonts w:ascii="Times New Roman" w:hAnsi="Times New Roman"/>
          <w:sz w:val="19"/>
        </w:rPr>
        <w:t>Правовой статус. Разделы о праве и управлении описывают сценарии и ограничения. Станция, астероид и поселение не становятся автоматически государством или территорией; регистрация, оператор, перевозчик и юрисдикция должны быть определены отдельно.</w:t>
      </w:r>
    </w:p>
    <w:p>
      <w:pPr>
        <w:spacing w:after="80"/>
      </w:pPr>
      <w:r>
        <w:rPr>
          <w:rFonts w:ascii="Times New Roman" w:hAnsi="Times New Roman"/>
          <w:sz w:val="19"/>
        </w:rPr>
        <w:t>Орбита L1. Размещение в окрестности L1 и расход рабочего тела являются миссионными оценками. Тип орбиты, коррекции, навигация, связь, солнечное давление и требования к резервированию должны быть подтверждены отдельной баллистической моделью.</w:t>
      </w:r>
    </w:p>
    <w:p>
      <w:pPr>
        <w:spacing w:after="80"/>
      </w:pPr>
      <w:r>
        <w:rPr>
          <w:rFonts w:ascii="Times New Roman" w:hAnsi="Times New Roman"/>
          <w:sz w:val="19"/>
        </w:rPr>
        <w:t>Транспорт и стыковка. Осевые рамы, цапфы, подшипниковые корпуса и переходные шахты являются концептуальной архитектурой. Герметизация, динамика, аварийные ловители, ресурс подшипников и передача усилий требуют стендовых и натурных испытаний.</w:t>
      </w:r>
    </w:p>
    <w:p>
      <w:pPr>
        <w:spacing w:after="80"/>
      </w:pPr>
      <w:r>
        <w:rPr>
          <w:rFonts w:ascii="Times New Roman" w:hAnsi="Times New Roman"/>
          <w:sz w:val="19"/>
        </w:rPr>
        <w:t>Биосфера. Балансы газов, воды и продовольствия являются системной моделью и набором допущений. Долговременная устойчивость почвы, микробиома, генетического разнообразия, демографии и санитарного контура требует экспериментов и многолетней валидации.</w:t>
      </w:r>
    </w:p>
    <w:p>
      <w:pPr>
        <w:spacing w:after="80"/>
      </w:pPr>
      <w:r>
        <w:rPr>
          <w:rFonts w:ascii="Times New Roman" w:hAnsi="Times New Roman"/>
          <w:sz w:val="19"/>
        </w:rPr>
        <w:t>Энергия и тепло. Электрический, тепловой и радиаторный балансы являются стационарными оценками. Переходные режимы, отказ оборудования, пуск, остановка и частичная потеря теплоотвода требуют отдельной динамической модели.</w:t>
      </w:r>
    </w:p>
    <w:p>
      <w:pPr>
        <w:spacing w:after="80"/>
      </w:pPr>
      <w:r>
        <w:rPr>
          <w:rFonts w:ascii="Times New Roman" w:hAnsi="Times New Roman"/>
          <w:sz w:val="19"/>
        </w:rPr>
        <w:t>Несущая оболочка. Напряжения и массовые оценки являются предварительными оценками первого уровня. Локальная устойчивость, стыки, сварка, усталость, трещиностойкость, температурные градиенты и коррозия требуют расчёта конечных элементов и испытаний образцов.</w:t>
      </w:r>
    </w:p>
    <w:p>
      <w:pPr>
        <w:spacing w:after="80"/>
      </w:pPr>
      <w:r>
        <w:rPr>
          <w:rFonts w:ascii="Times New Roman" w:hAnsi="Times New Roman"/>
          <w:sz w:val="19"/>
        </w:rPr>
        <w:t>Геометрия и вращение. Радиус, длина, угловая скорость и искусственная гравитация представлены как аналитические расчётные оценки на принятых исходных данных. Для рабочего проекта необходимы согласованная динамическая модель и проверка режимов балансировки.</w:t>
      </w:r>
    </w:p>
    <w:p>
      <w:pPr>
        <w:spacing w:after="80"/>
      </w:pPr>
      <w:r>
        <w:rPr>
          <w:rFonts w:ascii="Times New Roman" w:hAnsi="Times New Roman"/>
          <w:sz w:val="19"/>
        </w:rPr>
        <w:t>Матрица ниже фиксирует границы интерпретации результатов и не заменяет проектную документацию, испытания или сертификацию.</w:t>
      </w:r>
    </w:p>
    <w:p>
      <w:pPr>
        <w:pStyle w:val="Heading1"/>
        <w:keepNext/>
      </w:pPr>
      <w:r>
        <w:rPr>
          <w:rFonts w:ascii="Times New Roman" w:hAnsi="Times New Roman"/>
        </w:rPr>
        <w:t>ПРИЛОЖЕНИЕ Е. МАТРИЦА СТАТУСОВ И ПРОВЕРКИ</w:t>
      </w:r>
    </w:p>
    <w:p>
      <w:pPr>
        <w:pStyle w:val="Heading1"/>
        <w:keepNext/>
      </w:pPr>
      <w:r>
        <w:rPr>
          <w:rFonts w:ascii="Times New Roman" w:hAnsi="Times New Roman"/>
        </w:rPr>
        <w:t>ЛИЦЕНЗИЯ / LICENSE</w:t>
      </w:r>
    </w:p>
    <w:p>
      <w:pPr>
        <w:keepNext w:val="0"/>
        <w:spacing w:after="80"/>
      </w:pPr>
      <w:r>
        <w:rPr>
          <w:rFonts w:ascii="Times New Roman" w:hAnsi="Times New Roman" w:eastAsia="Times New Roman"/>
          <w:sz w:val="18"/>
        </w:rPr>
        <w:t>© 2026 Бугаенко Роман Сергеевич. Все права защищены. / Copyright © 2026 Roman Sergeevich Bugaenko. All rights reserved.</w:t>
      </w:r>
    </w:p>
    <w:p>
      <w:pPr>
        <w:keepNext w:val="0"/>
        <w:spacing w:after="80"/>
      </w:pPr>
      <w:r>
        <w:rPr>
          <w:rFonts w:ascii="Times New Roman" w:hAnsi="Times New Roman" w:eastAsia="Times New Roman"/>
          <w:sz w:val="18"/>
        </w:rPr>
        <w:t>Публичное чтение и ознакомление с проектом разрешены. Любое иное использование требует предварительного письменного согласия автора. / Public reading and review are permitted. Any other use requires the author’s prior written permission.</w:t>
      </w:r>
    </w:p>
    <w:p>
      <w:pPr>
        <w:keepNext w:val="0"/>
        <w:spacing w:after="80"/>
      </w:pPr>
      <w:r>
        <w:rPr>
          <w:rFonts w:ascii="Times New Roman" w:hAnsi="Times New Roman" w:eastAsia="Times New Roman"/>
          <w:sz w:val="18"/>
        </w:rPr>
        <w:t>Без письменного разрешения запрещаются копирование, воспроизведение, распространение, публикация, публичный показ, перевод, переработка, адаптация, создание производных материалов, коммерческое и некоммерческое использование проекта или его частей, включая текст, расчёты, таблицы, рисунки, схемы, исходный код и документацию. / Without written permission, copying, reproduction, distribution, publication, public display, translation, adaptation, modification, derivative works, commercial or non-commercial use of the project or any part of it—including text, calculations, tables, figures, diagrams, source code and documentation—are prohibited.</w:t>
      </w:r>
    </w:p>
    <w:p>
      <w:pPr>
        <w:keepNext w:val="0"/>
        <w:spacing w:after="80"/>
      </w:pPr>
      <w:r>
        <w:rPr>
          <w:rFonts w:ascii="Times New Roman" w:hAnsi="Times New Roman" w:eastAsia="Times New Roman"/>
          <w:sz w:val="18"/>
        </w:rPr>
        <w:t>Это уведомление резервирует все права и не является лицензией open source или Creative Commons. Права, которые нельзя ограничить императивным законодательством, сохраняются. / This is an all-rights-reserved copyright notice, not an open-source or Creative Commons license. Rights that cannot be restricted under mandatory law remain unaffected.</w:t>
      </w:r>
    </w:p>
    <w:p>
      <w:pPr>
        <w:keepNext w:val="0"/>
        <w:spacing w:after="80"/>
      </w:pPr>
      <w:r>
        <w:rPr>
          <w:rFonts w:ascii="Times New Roman" w:hAnsi="Times New Roman" w:eastAsia="Times New Roman"/>
          <w:sz w:val="18"/>
        </w:rPr>
        <w:t>Запросы на разрешение использования следует направлять автору через официальный репозиторий или опубликованный автором канал связи. / Permission requests should be addressed to the author through the official repository or another contact channel published by the author.</w:t>
      </w:r>
    </w:p>
    <w:sectPr w:rsidR="00FC693F" w:rsidRPr="0006063C" w:rsidSect="00034616">
      <w:footerReference w:type="default" r:id="rId32"/>
      <w:pgSz w:w="11906" w:h="16838"/>
      <w:pgMar w:top="1134" w:right="964" w:bottom="1134" w:left="1474" w:header="680" w:footer="680" w:gutter="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7085"/>
        <w:sz w:val="18"/>
      </w:rPr>
      <w:t xml:space="preserve">— </w:t>
    </w:r>
    <w:r>
      <w:fldChar w:fldCharType="begin"/>
    </w:r>
    <w:r>
      <w:instrText xml:space="preserve"> PAGE </w:instrText>
    </w:r>
    <w:r>
      <w:fldChar w:fldCharType="end"/>
    </w:r>
    <w:r>
      <w:rPr>
        <w:rFonts w:ascii="Times New Roman" w:hAnsi="Times New Roman"/>
        <w:color w:val="667085"/>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color w:val="2025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eastAsia="Times New Roman"/>
      <w:b/>
      <w:bCs/>
      <w:color w:val="2F5D83"/>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B56B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eastAsia="Times New Roman"/>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69" w:lineRule="auto"/>
    </w:pPr>
    <w:rPr>
      <w:rFonts w:ascii="Times New Roman" w:hAnsi="Times New Roman" w:eastAsia="Times New Roman"/>
      <w:color w:val="20252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MMOSON — personal scientific publication</dc:title>
  <dc:subject>Концепция орбитальной станции О’Нилла</dc:subject>
  <dc:creator>Roman Sergeevich Bugaenko</dc:creator>
  <cp:keywords>ММОСО'Н, O'Neill cylinder, personal research project</cp:keywords>
  <dc:description>Пересобранный совместимый DOCX без исходных служебных разделов.</dc:description>
  <cp:lastModifiedBy/>
  <cp:revision>1</cp:revision>
  <dcterms:created xsi:type="dcterms:W3CDTF">2013-12-23T23:15:00Z</dcterms:created>
  <dcterms:modified xsi:type="dcterms:W3CDTF">2013-12-23T23:15:00Z</dcterms:modified>
  <cp:category/>
</cp:coreProperties>
</file>