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ММОСО’Н. Дополнение к редакции 7</w:t>
      </w:r>
    </w:p>
    <w:p>
      <w:pPr>
        <w:jc w:val="center"/>
      </w:pPr>
      <w:r>
        <w:rPr>
          <w:b/>
          <w:i w:val="0"/>
          <w:sz w:val="24"/>
        </w:rPr>
        <w:t>Новые области анализа: семь пробелов, найденных в публикации</w:t>
      </w:r>
    </w:p>
    <w:p>
      <w:pPr>
        <w:jc w:val="center"/>
      </w:pPr>
      <w:r>
        <w:rPr>
          <w:b w:val="0"/>
          <w:i/>
          <w:sz w:val="20"/>
        </w:rPr>
        <w:t>Модель модуля орбитальной станции О’Нилла · точка L1 Земля — Солнце</w:t>
      </w:r>
    </w:p>
    <w:p>
      <w:pPr>
        <w:jc w:val="center"/>
      </w:pPr>
      <w:r>
        <w:rPr>
          <w:b w:val="0"/>
          <w:i/>
          <w:sz w:val="20"/>
        </w:rPr>
        <w:t>Автор — Бугаенко Роман Сергеевич. Расчётная верификация и оформление — НИК.</w:t>
      </w:r>
    </w:p>
    <w:p>
      <w:pPr>
        <w:pStyle w:val="Heading2"/>
      </w:pPr>
      <w:r>
        <w:t>О методе</w:t>
      </w:r>
    </w:p>
    <w:p>
      <w:r>
        <w:rPr>
          <w:b w:val="0"/>
          <w:i w:val="0"/>
        </w:rPr>
        <w:t>Данный документ не пересматривает утверждённые параметры редакции 7. Он добавляет семь областей, которые в публикации названы, но не рассчитаны, либо не названы вовсе. Каждая величина выведена заново из канонических параметров проекта (R = 5000 м, длина 40 км, ω = 0,04429 рад/с, пояс 850 мм, два цилиндра, 1 млн жителей, 721,4 ГВт). Ни одно число не взято из текста публикации: скрипт src/supplement_calcs.py пересчитывает всё от первооснов и печатает сверку с документом там, где она возможна.</w:t>
      </w:r>
    </w:p>
    <w:p>
      <w:r>
        <w:rPr>
          <w:b w:val="0"/>
          <w:i w:val="0"/>
        </w:rPr>
        <w:t>Статус документа — исследовательский, как и статус основной публикации. Это не рабочая конструкторская документация.</w:t>
      </w:r>
    </w:p>
    <w:p>
      <w:pPr>
        <w:pStyle w:val="Heading1"/>
      </w:pPr>
      <w:r>
        <w:t>20. Носовые купола как ограничение давления</w:t>
      </w:r>
    </w:p>
    <w:p>
      <w:r>
        <w:rPr>
          <w:b w:val="0"/>
          <w:i w:val="0"/>
        </w:rPr>
        <w:t>В публикации торцевые полусферы фигурируют только как технические зоны (п. 2.4) и как место размещения солнечных батарей (п. 7.7). Их работа как ограничения давления не рассчитана нигде: раздел 4.2 считает цилиндрическую оболочку, раздел 4.15 — её устойчивость, но торец остаётся вне анализа.</w:t>
      </w:r>
    </w:p>
    <w:p>
      <w:pPr>
        <w:pStyle w:val="Heading2"/>
      </w:pPr>
      <w:r>
        <w:t>20.1. Геометрия и мембранные напряжения</w:t>
      </w:r>
    </w:p>
    <w:p>
      <w:r>
        <w:rPr>
          <w:b w:val="0"/>
          <w:i w:val="0"/>
        </w:rPr>
        <w:t>Торец — половина сжатого сфероида с полуосями a = 5000 м и c = 4500 м (c/a = 0,900), силовой пояс 850 мм. Для оболочки вращения под внутренним давлением мембранные напряжения на полюсе равны друг другу и составляют σ = p·a²/(2ct); на экваторе они различаются.</w:t>
      </w:r>
    </w:p>
    <w:p>
      <w:pPr>
        <w:keepNext/>
        <w:spacing w:before="160" w:after="60"/>
      </w:pPr>
      <w:r>
        <w:rPr>
          <w:b/>
          <w:sz w:val="19"/>
        </w:rPr>
        <w:t>Таблица 20.1 — Мембранные напряжения торца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08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Величина</w:t>
            </w:r>
          </w:p>
        </w:tc>
        <w:tc>
          <w:tcPr>
            <w:tcW w:type="dxa" w:w="204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306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Примечание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σ на полюсе, p = 1 атм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331 МПа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  <w:t>меридиана = окружное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σ меридиальное на экваторе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298 МПа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σ окружное на экваторе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228 МПа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σ кольцевое цилиндра (п. 4.2)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1308 МПа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  <w:t>для сравнения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σ на полюсе при проектной нагрузке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509 МПа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  <w:t>q = 155,6 кПа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Проектная нагрузка на торец ниже цилиндрической: 155,6 кПа против 222,4 кПа. Причина в том, что торец — техническая зона: на нём нет грунта, водоёмов и застройки, а нагрузка от собственного пакета обшивки (7115 кг/м²) приложена при среднем ускорении 0,778 g. Средний радиус поверхности торца 3892 м, поэтому среднее центростремительное ускорение на нём равно 7,63 м/с².</w:t>
      </w:r>
    </w:p>
    <w:p>
      <w:pPr>
        <w:pStyle w:val="Heading2"/>
      </w:pPr>
      <w:r>
        <w:t>20.2. Стык с цилиндром</w:t>
      </w:r>
    </w:p>
    <w:p>
      <w:r>
        <w:rPr>
          <w:b w:val="0"/>
          <w:i w:val="0"/>
        </w:rPr>
        <w:t>Касательная к сфероиду в экваторе параллельна оси вращения, поэтому торец сходится с цилиндром касательно: геометрического разрыва на стыке нет. Осевая тяга торца на экваторе N = p·a/2 = 253 МН/м должна быть передана поясу цилиндра, что даёт добавочное осевое напряжение 298 МПа.</w:t>
      </w:r>
    </w:p>
    <w:p>
      <w:pPr>
        <w:keepNext/>
        <w:spacing w:before="160" w:after="60"/>
      </w:pPr>
      <w:r>
        <w:rPr>
          <w:b/>
          <w:sz w:val="19"/>
        </w:rPr>
        <w:t>Таблица 20.2 — Сводное напряжение на стыке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74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Положение</w:t>
            </w:r>
          </w:p>
        </w:tc>
        <w:tc>
          <w:tcPr>
            <w:tcW w:type="dxa" w:w="306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Напряжение</w:t>
            </w:r>
          </w:p>
        </w:tc>
        <w:tc>
          <w:tcPr>
            <w:tcW w:type="dxa" w:w="238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Запас к текучести 1333 МПа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Середина цилиндрической части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  <w:t>1308 МПа (кольцевое)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19"/>
              </w:rPr>
              <w:t>1,02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Стык цилиндра с торцом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sz w:val="19"/>
              </w:rPr>
              <w:t>1187 МПа (по Мизесу)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sz w:val="19"/>
              </w:rPr>
              <w:t>1,12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Сечение стыкового кольца, потребного для передачи тяги при напряжении 1308 МПа, составляет 0,194 м²/м — 23 % сечения силового пояса. То есть стык не требует отдельного усиления: пояс цилиндра принимает осевую составляющую с запасом.</w:t>
      </w:r>
    </w:p>
    <w:p>
      <w:pPr>
        <w:pStyle w:val="Heading2"/>
      </w:pPr>
      <w:r>
        <w:t>20.3. Полусферическая альтернатива</w:t>
      </w:r>
    </w:p>
    <w:p>
      <w:r>
        <w:rPr>
          <w:b w:val="0"/>
          <w:i w:val="0"/>
        </w:rPr>
        <w:t>Полный полусферический торец дал бы равномерное σ = pR/2t = 298 МПа, но площадь его поверхности 157,1 км² против 146,7 км² у сфероида. Сфероид экономит 10,4 км² площади на торец (20,8 км² на цилиндр) и 52,4 км³ объёма на цилиндр,paying за это небольшим ростом напряжения на полюсе (331 против 298 МПа). Выбор c = 4500 м подтверждается: он выгоден и не создаёт напряжённой концентрации.</w:t>
      </w:r>
    </w:p>
    <w:p>
      <w:pPr>
        <w:pStyle w:val="Heading2"/>
      </w:pPr>
      <w:r>
        <w:t>20.4. Что даёт раздел</w:t>
      </w:r>
    </w:p>
    <w:p>
      <w:pPr>
        <w:pStyle w:val="ListBullet"/>
        <w:spacing w:after="60"/>
      </w:pPr>
      <w:r>
        <w:t>Закрыт пробел: торец впервые рассчитан как ограничение давления.</w:t>
      </w:r>
    </w:p>
    <w:p>
      <w:pPr>
        <w:pStyle w:val="ListBullet"/>
        <w:spacing w:after="60"/>
      </w:pPr>
      <w:r>
        <w:t>Подтверждено, что цилиндр остаётся критическим элементом: 1308 МПа против 509 МПа на полюсе торца.</w:t>
      </w:r>
    </w:p>
    <w:p>
      <w:pPr>
        <w:pStyle w:val="ListBullet"/>
        <w:spacing w:after="60"/>
      </w:pPr>
      <w:r>
        <w:t>Установлено, что стык касательный и не требует усиления.</w:t>
      </w:r>
    </w:p>
    <w:p>
      <w:pPr>
        <w:pStyle w:val="ListBullet"/>
        <w:spacing w:after="60"/>
      </w:pPr>
      <w:r>
        <w:t>Выявлено следствие, которого в публикации нет: 293,4 км² торцов включены в «площадь внутренней поверхности» 1550,1 км², но являются техническими зонами. Обитаемая площадь одного цилиндра — 1256,6 км², и плотность населения при 1 млн жителей на два цилиндра равна 397 чел./км², а не 323 чел./км².</w:t>
      </w:r>
    </w:p>
    <w:p>
      <w:pPr>
        <w:pStyle w:val="ListBullet"/>
        <w:spacing w:after="60"/>
      </w:pPr>
      <w:r>
        <w:t>Отмечена возможность: торец — естественный объём с градиентом тяжести от 0 g в центре до 1 g на экваторе, пригодный для невесомостных производств (п. 4.10).</w:t>
      </w:r>
    </w:p>
    <w:p>
      <w:pPr>
        <w:pStyle w:val="Heading1"/>
      </w:pPr>
      <w:r>
        <w:t>21. Аварийная потеря вращения</w:t>
      </w:r>
    </w:p>
    <w:p>
      <w:r>
        <w:rPr>
          <w:b w:val="0"/>
          <w:i w:val="0"/>
        </w:rPr>
        <w:t>Подписная авария вращающейся станции — прекращение вращения. В публикации рассмотрены отказ энергоснабжения (п. 14.2), стабилизация и соединение цилиндров (п. 4.11), балансировка (п. 11.7), но сценарий «вращение остановилось» не построен ни в одном из них.</w:t>
      </w:r>
    </w:p>
    <w:p>
      <w:pPr>
        <w:pStyle w:val="Heading2"/>
      </w:pPr>
      <w:r>
        <w:t>21.1. Запас момента импульса</w:t>
      </w:r>
    </w:p>
    <w:p>
      <w:pPr>
        <w:keepNext/>
        <w:spacing w:before="160" w:after="60"/>
      </w:pPr>
      <w:r>
        <w:rPr>
          <w:b/>
          <w:sz w:val="19"/>
        </w:rPr>
        <w:t>Таблица 21.1 — Момент импульса и энергия вращения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5443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Величина</w:t>
            </w:r>
          </w:p>
        </w:tc>
        <w:tc>
          <w:tcPr>
            <w:tcW w:type="dxa" w:w="374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Момент инерции станции (два цилиндра)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1,168·10²¹ кг·м²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Момент импульса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5,171·10¹⁹ кг·м²/с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Кинетическая энергия вращения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1,145·10¹⁸ Дж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Эквивалент полной мощности 721,4 ГВт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18,4 суток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Раскрутка назад при 100 % мощности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18,4 суток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Раскрутка назад при 30 % мощности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61,2 суток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9"/>
              </w:rPr>
              <w:t>Раскрутка назад при 10 % мощности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183,7 суток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Главный практический вывод: восстановить тяжесть нельзя быстро. Даже отдав всё электричество станции, нужно более 18 суток, чтобы вернуть 1 g. Значит, аварийный режим должен быть рассчитан на недели невесомости, а не на часы.</w:t>
      </w:r>
    </w:p>
    <w:p>
      <w:pPr>
        <w:pStyle w:val="Heading2"/>
      </w:pPr>
      <w:r>
        <w:t>21.2. Атмосфера и оболочка</w:t>
      </w:r>
    </w:p>
    <w:p>
      <w:r>
        <w:rPr>
          <w:b w:val="0"/>
          <w:i w:val="0"/>
        </w:rPr>
        <w:t>При вращении давление распределено по радиусу: 101,3 кПа у обоевой поверхности и 75,7 кПа на оси (п. Б.4). При полной остановке газ перераспределяется в однородное поле, и давление выравнивается до 87,9 кПа.</w:t>
      </w:r>
    </w:p>
    <w:p>
      <w:pPr>
        <w:keepNext/>
        <w:spacing w:before="160" w:after="60"/>
      </w:pPr>
      <w:r>
        <w:rPr>
          <w:b/>
          <w:sz w:val="19"/>
        </w:rPr>
        <w:t>Таблица 21.2 — Перераспределение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60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204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Давление у обоя</w:t>
            </w:r>
          </w:p>
        </w:tc>
        <w:tc>
          <w:tcPr>
            <w:tcW w:type="dxa" w:w="204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Давление на оси</w:t>
            </w:r>
          </w:p>
        </w:tc>
        <w:tc>
          <w:tcPr>
            <w:tcW w:type="dxa" w:w="249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Нагрузка на оболочку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Нормальное вращение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101,3 кПа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75,7 кПа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Полная остановка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87,9 кПа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87,9 кПа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87 %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Оболочка при остановке разгружается на 13 %. Это важный и неочевидный результат: потеря вращения не угрожает прочности оболочки, она её разгружает. Угроза лежит не в механике.</w:t>
      </w:r>
    </w:p>
    <w:p>
      <w:pPr>
        <w:pStyle w:val="Heading2"/>
      </w:pPr>
      <w:r>
        <w:t>21.3. Что действительно ломается</w:t>
      </w:r>
    </w:p>
    <w:p>
      <w:pPr>
        <w:pStyle w:val="ListBullet"/>
        <w:spacing w:after="60"/>
      </w:pPr>
      <w:r>
        <w:t>Конвекция. Адиабатический перепад температуры от обоя к оси составляет 24,4 К: воздух, поднимающийся к оси, охлаждается. Естественная конвекция обеспечивала перенос тепла к стенкам; при g → 0 число Грасгофа стремится к нулю, и весь теплоперенос должен принять на себя принудительное вентилирование. Запас системы жизнеобеспечения (20 ГВт, п. 4.13.6) должен быть рассчитан на 100 % теплообмена без плавучести.</w:t>
      </w:r>
    </w:p>
    <w:p>
      <w:pPr>
        <w:pStyle w:val="ListBullet"/>
        <w:spacing w:after="60"/>
      </w:pPr>
      <w:r>
        <w:t>Водный баланс. Сток, водоотвод и орошение работают на тяжести. При её исчезновении профиль грунта переувлажняется и переходит в анаэробное состояние; корни задыхаются за часы — сутки.</w:t>
      </w:r>
    </w:p>
    <w:p>
      <w:pPr>
        <w:pStyle w:val="ListBullet"/>
        <w:spacing w:after="60"/>
      </w:pPr>
      <w:r>
        <w:t>Ориентация растений. Гравитропизм теряет смысл; направление роста перестаёт быть заданным.</w:t>
      </w:r>
    </w:p>
    <w:p>
      <w:pPr>
        <w:pStyle w:val="ListBullet"/>
        <w:spacing w:after="60"/>
      </w:pPr>
      <w:r>
        <w:t>Взвесь. В приосевой зоне (п. 6.5) частицы и так не оседают; при исчезновении тяжести зона неоседающей взвеси расширяется на весь объём.</w:t>
      </w:r>
    </w:p>
    <w:p>
      <w:pPr>
        <w:pStyle w:val="Heading2"/>
      </w:pPr>
      <w:r>
        <w:t>21.4. Асимметричная остановка</w:t>
      </w:r>
    </w:p>
    <w:p>
      <w:r>
        <w:rPr>
          <w:b w:val="0"/>
          <w:i w:val="0"/>
        </w:rPr>
        <w:t>Цилиндры противовращаются, поэтому их суммарный момент импульса равен нулю. Если остановится один цилиндр, а другой продолжит вращение, возникает чистый момент 2,585·10¹⁹ кг·м²/с и гироскопическая связь через соединительные фермы. Поперечный момент инерции станции 3,405·10²¹ кг·м², поэтому период прецессии составит 13,8 мин, а гироскопический момент на фермах — 1,96·10¹⁷ Н·м.</w:t>
      </w:r>
    </w:p>
    <w:p>
      <w:r>
        <w:rPr>
          <w:b w:val="0"/>
          <w:i w:val="0"/>
        </w:rPr>
        <w:t>Следствие для проекта: аварийный останов должен быть синхронным по обоим цилиндрам. Независимый останов одного цилиндра — отдельная, более тяжёлая авария, и её нужно внести в перечень аварийных режимов (п. 14).</w:t>
      </w:r>
    </w:p>
    <w:p>
      <w:pPr>
        <w:pStyle w:val="Heading2"/>
      </w:pPr>
      <w:r>
        <w:t>21.5. Требуемые проектные положения</w:t>
      </w:r>
    </w:p>
    <w:p>
      <w:pPr>
        <w:pStyle w:val="ListBullet"/>
        <w:spacing w:after="60"/>
      </w:pPr>
      <w:r>
        <w:t>Ввести порог минимального жизнеспособного вращения: при ω/ω₀ &lt; 0,3 (0,3 g) биосфера переводится в режим закрытых теплиц с полным принудительным теплопереносом и дренажем.</w:t>
      </w:r>
    </w:p>
    <w:p>
      <w:pPr>
        <w:pStyle w:val="ListBullet"/>
        <w:spacing w:after="60"/>
      </w:pPr>
      <w:r>
        <w:t>Нормировать время восстановления не часами, а сутками: 18,4 суток при полной отдаче мощности.</w:t>
      </w:r>
    </w:p>
    <w:p>
      <w:pPr>
        <w:pStyle w:val="ListBullet"/>
        <w:spacing w:after="60"/>
      </w:pPr>
      <w:r>
        <w:t>Запретить независимый останов одного цилиндра и предусмотреть синхронизацию аварийного торможения.</w:t>
      </w:r>
    </w:p>
    <w:p>
      <w:pPr>
        <w:pStyle w:val="ListBullet"/>
        <w:spacing w:after="60"/>
      </w:pPr>
      <w:r>
        <w:t>Ввести в п. 14 перечень режим «потеря вращения» с накопителем энергии, достаточным для управления, но не для раскрутки.</w:t>
      </w:r>
    </w:p>
    <w:p>
      <w:pPr>
        <w:pStyle w:val="Heading1"/>
      </w:pPr>
      <w:r>
        <w:t>22. Визуальная среда замкнутого мира</w:t>
      </w:r>
    </w:p>
    <w:p>
      <w:r>
        <w:rPr>
          <w:b w:val="0"/>
          <w:i w:val="0"/>
        </w:rPr>
        <w:t>Иллюминаторов в проекте нет и не предусмотрено: человек видит атмосферу и осевую светотепловую балку. Вся визуальная среда — внутренняя, и она нигде не описана. При этом она неодинакова по направлениям и определяет и ориентацию, и психологию, и архитектуру поселений.</w:t>
      </w:r>
    </w:p>
    <w:p>
      <w:pPr>
        <w:pStyle w:val="Heading2"/>
      </w:pPr>
      <w:r>
        <w:t>22.1. Горизонт и противоположная стена</w:t>
      </w:r>
    </w:p>
    <w:p>
      <w:r>
        <w:rPr>
          <w:b w:val="0"/>
          <w:i w:val="0"/>
        </w:rPr>
        <w:t>Внутренняя поверхность цилиндра всюду перпендикулярна местной вертикали. Поэтому поперёк оси она поднимается, и горизонт оказывается близко, а вдоль оси остаётся прямой, и горизонт там не ограничен вовсе.</w:t>
      </w:r>
    </w:p>
    <w:p>
      <w:pPr>
        <w:keepNext/>
        <w:spacing w:before="160" w:after="60"/>
      </w:pPr>
      <w:r>
        <w:rPr>
          <w:b/>
          <w:sz w:val="19"/>
        </w:rPr>
        <w:t>Таблица 22.1 — Горизонт поперёк оси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309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Высота глаз</w:t>
            </w:r>
          </w:p>
        </w:tc>
        <w:tc>
          <w:tcPr>
            <w:tcW w:type="dxa" w:w="374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Горизонт поперёк оси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9"/>
              </w:rPr>
              <w:t>1,0 м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100 м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9"/>
              </w:rPr>
              <w:t>1,7 м (человек)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131 м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9"/>
              </w:rPr>
              <w:t>2,5 м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158 м</w:t>
            </w:r>
          </w:p>
        </w:tc>
      </w:tr>
      <w:tr>
        <w:tc>
          <w:tcPr>
            <w:tcW w:type="dxa" w:w="4309"/>
          </w:tcPr>
          <w:p>
            <w:r/>
            <w:r>
              <w:rPr>
                <w:sz w:val="19"/>
              </w:rPr>
              <w:t>10,0 м (верх этажа)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sz w:val="19"/>
              </w:rPr>
              <w:t>316 м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Противоположная стена цилиндра висит над наблюдателем: в зените она удалена на 9998 м. Всё, что выше горизонта, — это противоположная стена, то есть перевёрнутый ландшафт на расстоянии 10 км. Горизонт вдоль оси не ограничен геометрией; предел — видимость в атмосфере (п. 6.5).</w:t>
      </w:r>
    </w:p>
    <w:p>
      <w:pPr>
        <w:pStyle w:val="Heading2"/>
      </w:pPr>
      <w:r>
        <w:t>22.2. ОСБ как источник света</w:t>
      </w:r>
    </w:p>
    <w:p>
      <w:r>
        <w:rPr>
          <w:b w:val="0"/>
          <w:i w:val="0"/>
        </w:rPr>
        <w:t>Наружная труба ОСБ имеет диаметр 8 м (п. 4.13.2) и проходит по оси. С обоевой поверхности она видна как линия угловой ширины 0,0917° — почти в шесть раз у́же солнечного диска (0,533°). Тени на станции резче земных.</w:t>
      </w:r>
    </w:p>
    <w:p>
      <w:pPr>
        <w:keepNext/>
        <w:spacing w:before="160" w:after="60"/>
      </w:pPr>
      <w:r>
        <w:rPr>
          <w:b/>
          <w:sz w:val="19"/>
        </w:rPr>
        <w:t>Таблица 22.2 — Видимое положение ОСБ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74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Осевая координата z</w:t>
            </w:r>
          </w:p>
        </w:tc>
        <w:tc>
          <w:tcPr>
            <w:tcW w:type="dxa" w:w="272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Угол от зенита</w:t>
            </w:r>
          </w:p>
        </w:tc>
        <w:tc>
          <w:tcPr>
            <w:tcW w:type="dxa" w:w="2835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Высота над горизонтом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0 м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0,0°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90,0°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1000 м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11,3°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78,7°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5000 м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45,0°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45,0°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10000 м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63,4°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26,6°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20000 м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76,0°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14,0°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24500 м (полюс торца)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sz w:val="19"/>
              </w:rPr>
              <w:t>78,5°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9"/>
              </w:rPr>
              <w:t>11,5°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ОСБ выглядит как прямые линии света, расходящиеся из зенита к обоим горизонтам и опускающиеся до 14° над горизонтом у торцов. Источник протяжённый: 71 % света приходит с участков оси в пределах ±5000 м, то есть из конуса полууглом 45°. Поэтому у предмета нет одной тени — есть полутень, образованная всей длиной балки.</w:t>
      </w:r>
    </w:p>
    <w:p>
      <w:pPr>
        <w:pStyle w:val="Heading2"/>
      </w:pPr>
      <w:r>
        <w:t>22.3. Масштаб вида</w:t>
      </w:r>
    </w:p>
    <w:p>
      <w:r>
        <w:rPr>
          <w:b w:val="0"/>
          <w:i w:val="0"/>
        </w:rPr>
        <w:t>На противоположной стороне, на удалении 10 км, угловые размеры малы: человек ростом 1,7 м даёт 0,58′ — на пороге разрешения глаза; дерево 10 м — 3,4′; здание 100 м — 34,4°. Перевёрнутый ландшафт читается как пейзаж, но люди на нём неразличимы.</w:t>
      </w:r>
    </w:p>
    <w:p>
      <w:r>
        <w:rPr>
          <w:b w:val="0"/>
          <w:i w:val="0"/>
        </w:rPr>
        <w:t>Освещённость в светящейся полосе составляет 13 800–17 800 лк при 148 Вт/м² (п. 4.13.4, коэффициент 93–120 лк на Вт/м²). Для сравнения: светлая тень на Земле — 10 000–25 000 лк. Полоса тьмы занимает половину длины цилиндра, поэтому в любой момент светятся 20 км из 40 км, и световой день составляет 11,75 ч при полном цикле 23,5 ч.</w:t>
      </w:r>
    </w:p>
    <w:p>
      <w:pPr>
        <w:pStyle w:val="Heading2"/>
      </w:pPr>
      <w:r>
        <w:t>22.4. Что даёт раздел</w:t>
      </w:r>
    </w:p>
    <w:p>
      <w:pPr>
        <w:pStyle w:val="ListBullet"/>
        <w:spacing w:after="60"/>
      </w:pPr>
      <w:r>
        <w:t>Установлено, что визуальный мир станции анизотропен: горизонт в 131 м поперёк оси и неограничен вдоль неё.</w:t>
      </w:r>
    </w:p>
    <w:p>
      <w:pPr>
        <w:pStyle w:val="ListBullet"/>
        <w:spacing w:after="60"/>
      </w:pPr>
      <w:r>
        <w:t>Установлено, что источник света — протяжённая линия, а не диск, и тени мягче солнечных по одному направлению и резче по другому.</w:t>
      </w:r>
    </w:p>
    <w:p>
      <w:pPr>
        <w:pStyle w:val="ListBullet"/>
        <w:spacing w:after="60"/>
      </w:pPr>
      <w:r>
        <w:t>Выявлено проектное следствие: опора на визуальные ориентиры вдоль оси работает, поперёк оси — нет. Навигация и адресация (п. 12.5.1) должны опираться на осевую координату.</w:t>
      </w:r>
    </w:p>
    <w:p>
      <w:pPr>
        <w:pStyle w:val="ListBullet"/>
        <w:spacing w:after="60"/>
      </w:pPr>
      <w:r>
        <w:t>Выявлено психофизическое следствие: наблюдатель постоянно видит перевёрнутый ландшафт над головой на удалении 10 км, при отсутствии неба, звёзд и Солнца. Это следует внести в п. 15.2 как отдельный фактор, наряду с замкнутостью.</w:t>
      </w:r>
    </w:p>
    <w:p>
      <w:pPr>
        <w:pStyle w:val="Heading1"/>
      </w:pPr>
      <w:r>
        <w:t>23. Химия воздуха на столетия</w:t>
      </w:r>
    </w:p>
    <w:p>
      <w:r>
        <w:rPr>
          <w:b w:val="0"/>
          <w:i w:val="0"/>
        </w:rPr>
        <w:t>Публикация рассматривает газовый баланс (п. 6.1), круговорот веществ (п. 6.2) и кислородный баланс во времени (раздел 16). Но химия воздуха как таковая — малые примеси, продукты испарения материалов, озон — не рассчитана. Для замкнутого объёма на столетия это самостоятельная задача.</w:t>
      </w:r>
    </w:p>
    <w:p>
      <w:pPr>
        <w:pStyle w:val="Heading2"/>
      </w:pPr>
      <w:r>
        <w:t>23.1. Масштаб: отношение поверхности к объёму</w:t>
      </w:r>
    </w:p>
    <w:p>
      <w:r>
        <w:rPr>
          <w:b w:val="0"/>
          <w:i w:val="0"/>
        </w:rPr>
        <w:t>Объём воздуха двух цилиндров 7,226·10¹² м³ при внутренней поверхности 3,100·10⁹ м². Отношение S/V = 4,29·10⁻⁴ 1/м — примерно в 7000 раз меньше, чем в жилом помещении (≈3 1/м). Все процессы, которые в комнате идут за часы, здесь идут за десятилетия: объём слишком велик, а поверхности слишком мало.</w:t>
      </w:r>
    </w:p>
    <w:p>
      <w:pPr>
        <w:pStyle w:val="Heading2"/>
      </w:pPr>
      <w:r>
        <w:t>23.2. Озон</w:t>
      </w:r>
    </w:p>
    <w:p>
      <w:r>
        <w:rPr>
          <w:b w:val="0"/>
          <w:i w:val="0"/>
        </w:rPr>
        <w:t>Озонообразование включается любым излучением короче 242 нм: фотон разлагает O₂, атом соединяется с молекулой. Стационарная концентрация определяется балансом образования и осаждения на поверхности.</w:t>
      </w:r>
    </w:p>
    <w:p>
      <w:pPr>
        <w:keepNext/>
        <w:spacing w:before="160" w:after="60"/>
      </w:pPr>
      <w:r>
        <w:rPr>
          <w:b/>
          <w:sz w:val="19"/>
        </w:rPr>
        <w:t>Таблица 23.1 — Условия удержания 0,1 ppm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Скорость осаждения O₃</w:t>
            </w:r>
          </w:p>
        </w:tc>
        <w:tc>
          <w:tcPr>
            <w:tcW w:type="dxa" w:w="408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Мощность УФ-С (185 нм) для 0,1 ppm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0,01 см/с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sz w:val="19"/>
              </w:rPr>
              <w:t>0,93 МВт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0,05 см/с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sz w:val="19"/>
              </w:rPr>
              <w:t>4,63 МВт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0,20 см/с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sz w:val="19"/>
              </w:rPr>
              <w:t>18,5 МВт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Практическое правило: 1 кВт ультрафиолетового излучения с длиной волны 185 нм даёт в атмосфере станции 0,022 ppb озона. Четыре мегаватта такого излучения — это 0,00064 % мощности станции, то есть величины, которые легко пропустить в спектре ОСБ. Порог 0,1 ppm — это граница восьмичасового воздействия на человека.</w:t>
      </w:r>
    </w:p>
    <w:p>
      <w:r>
        <w:rPr>
          <w:b w:val="0"/>
          <w:i w:val="0"/>
        </w:rPr>
        <w:t>Проектное следствие однозначно: спектр ОСБ (п. 4.13.4) должен быть жёстко ограничен снизу по длине волны, примерно 280 нм. Ультрафиолет B (280–315 нм), необходимый для синтеза витамина D, кислород не поглощает и озон не образует; УФ-С (185–242 нм) должен быть исключён или снабжён каталитическим разрушителем озона.</w:t>
      </w:r>
    </w:p>
    <w:p>
      <w:pPr>
        <w:pStyle w:val="Heading2"/>
      </w:pPr>
      <w:r>
        <w:t>23.3. Летучие органические соединения</w:t>
      </w:r>
    </w:p>
    <w:p>
      <w:r>
        <w:rPr>
          <w:b w:val="0"/>
          <w:i w:val="0"/>
        </w:rPr>
        <w:t>Полимеры, краски, герметики и текстиль испаряются годами. Если испускающую поверхность принять равной половине внутренней (1,55·10⁹ м²), накопление без очистки таково:</w:t>
      </w:r>
    </w:p>
    <w:p>
      <w:pPr>
        <w:keepNext/>
        <w:spacing w:before="160" w:after="60"/>
      </w:pPr>
      <w:r>
        <w:rPr>
          <w:b/>
          <w:sz w:val="19"/>
        </w:rPr>
        <w:t>Таблица 23.2 — Накопление ЛОС без очистки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60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Эмиссия</w:t>
            </w:r>
          </w:p>
        </w:tc>
        <w:tc>
          <w:tcPr>
            <w:tcW w:type="dxa" w:w="294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Всего в атмосферу</w:t>
            </w:r>
          </w:p>
        </w:tc>
        <w:tc>
          <w:tcPr>
            <w:tcW w:type="dxa" w:w="249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Накопление за год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10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15,5 кг/ч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0,019 мг/м³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100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155 кг/ч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0,188 мг/м³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1000 мкг/(м²·ч)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1550 кг/ч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sz w:val="19"/>
              </w:rPr>
              <w:t>1,879 мг/м³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Для удержания 300 мкг/м³ при эмиссии 100 мкг/(м²·ч) требуется уничтожать 1,4·10⁵ м³/с, что соответствует обороту всей атмосферы станции раз в 583 суток. При 1000 мкг/(м²·ч) — раз в 58 суток. Энергетически это дешево (каталитическое окисление), трудоёмко по потоку: нужна система принудительного отбора, работающая постоянно в первый период жизни станции.</w:t>
      </w:r>
    </w:p>
    <w:p>
      <w:pPr>
        <w:pStyle w:val="Heading2"/>
      </w:pPr>
      <w:r>
        <w:t>23.4. Метан</w:t>
      </w:r>
    </w:p>
    <w:p>
      <w:r>
        <w:rPr>
          <w:b w:val="0"/>
          <w:i w:val="0"/>
        </w:rPr>
        <w:t>1 ppm метана в атмосфере станции — это 4182 т. До нижнего концентрационного предела воспламенения (5 %, то есть 209 Мт) при источнике 1000 т/год нужно 209 000 лет. Как пожароопасность метан в станции не существует; как потеря углерода и водорода и как участник химии атмосферы он существует, и его нужно учитывать в балансе, а не в безопасности.</w:t>
      </w:r>
    </w:p>
    <w:p>
      <w:pPr>
        <w:pStyle w:val="Heading2"/>
      </w:pPr>
      <w:r>
        <w:t>23.5. Что даёт раздел</w:t>
      </w:r>
    </w:p>
    <w:p>
      <w:pPr>
        <w:pStyle w:val="ListBullet"/>
        <w:spacing w:after="60"/>
      </w:pPr>
      <w:r>
        <w:t>Показано, что малые примеси в объёме станции живут десятилетиями и что S/V — определяющий параметр, отсутствующий в публикации.</w:t>
      </w:r>
    </w:p>
    <w:p>
      <w:pPr>
        <w:pStyle w:val="ListBullet"/>
        <w:spacing w:after="60"/>
      </w:pPr>
      <w:r>
        <w:t>Получено жёсткое требование к спектру ОСБ: не ниже 280 нм.</w:t>
      </w:r>
    </w:p>
    <w:p>
      <w:pPr>
        <w:pStyle w:val="ListBullet"/>
        <w:spacing w:after="60"/>
      </w:pPr>
      <w:r>
        <w:t>Показано, что ЛОС от 1550 км² новых поверхностей дадут за первый год 0,2–1,9 мг/м³, то есть сопоставимо с нормой для жилых помещений.</w:t>
      </w:r>
    </w:p>
    <w:p>
      <w:pPr>
        <w:pStyle w:val="ListBullet"/>
        <w:spacing w:after="60"/>
      </w:pPr>
      <w:r>
        <w:t>Установлено, что метан — вопрос баланса, а не безопасности.</w:t>
      </w:r>
    </w:p>
    <w:p>
      <w:pPr>
        <w:pStyle w:val="Heading1"/>
      </w:pPr>
      <w:r>
        <w:t>24. Почва как инженерный профиль</w:t>
      </w:r>
    </w:p>
    <w:p>
      <w:r>
        <w:rPr>
          <w:b w:val="0"/>
          <w:i w:val="0"/>
        </w:rPr>
        <w:t>В публикации есть почвенная биота (п. 15.1), структура посевных площадей (п. 5.2) и продуктивность. Но грунт как несущий инженерный элемент — профиль, дренаж, солевой баланс на столетия — не рассмотрен.</w:t>
      </w:r>
    </w:p>
    <w:p>
      <w:pPr>
        <w:pStyle w:val="Heading2"/>
      </w:pPr>
      <w:r>
        <w:t>24.1. Рельеф отсутствует</w:t>
      </w:r>
    </w:p>
    <w:p>
      <w:r>
        <w:rPr>
          <w:b w:val="0"/>
          <w:i w:val="0"/>
        </w:rPr>
        <w:t>Внутренняя поверхность цилиндра всюду перпендикулярна местной вертикали, значит уклон равен нулю. Сток под действием тяжести невозможен в принципе: на станции нет ни рек в естественном смысле, ни склонов. Водосбор, дренаж и орошение — исключительно инженерные системы, и их надо рассчитывать не как «улучшение природного стока», а как полную его замену.</w:t>
      </w:r>
    </w:p>
    <w:p>
      <w:pPr>
        <w:pStyle w:val="Heading2"/>
      </w:pPr>
      <w:r>
        <w:t>24.2. Эрозия</w:t>
      </w:r>
    </w:p>
    <w:p>
      <w:r>
        <w:rPr>
          <w:b w:val="0"/>
          <w:i w:val="0"/>
        </w:rPr>
        <w:t>Запас твёрдой фазы в профиле 1,5 м составляет 2850 кг/м². При смыве 0,1 кг/(м²·год) — верхняя оценка для задернованной поверхности — профиль держится 28 500 лет, при 1 кг/(м²·год) — 2850 лет. Эрозия на станции не является ограничением: при нулевом уклоне она пренебрежимо мала. Это стоит зафиксировать явно, чтобы не числить её в рисках.</w:t>
      </w:r>
    </w:p>
    <w:p>
      <w:pPr>
        <w:pStyle w:val="Heading2"/>
      </w:pPr>
      <w:r>
        <w:t>24.3. Засоление — настоящее ограничение</w:t>
      </w:r>
    </w:p>
    <w:p>
      <w:r>
        <w:rPr>
          <w:b w:val="0"/>
          <w:i w:val="0"/>
        </w:rPr>
        <w:t>В замкнутом водном цикле любая соль, вошедшая в систему, из неё не уходит. Площадь под грунтом 2852 км², почвенный раствор при объёмной влажности 25 % — 1070 млн м³.</w:t>
      </w:r>
    </w:p>
    <w:p>
      <w:pPr>
        <w:keepNext/>
        <w:spacing w:before="160" w:after="60"/>
      </w:pPr>
      <w:r>
        <w:rPr>
          <w:b/>
          <w:sz w:val="19"/>
        </w:rPr>
        <w:t>Таблица 24.1 — Начальный запас солей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06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Растворимые соли в грунте</w:t>
            </w:r>
          </w:p>
        </w:tc>
        <w:tc>
          <w:tcPr>
            <w:tcW w:type="dxa" w:w="215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Запас</w:t>
            </w:r>
          </w:p>
        </w:tc>
        <w:tc>
          <w:tcPr>
            <w:tcW w:type="dxa" w:w="3402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Равновесная солёность раствора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0,01 %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0,813 Мт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0,76 г/л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0,05 %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4,065 Мт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3,80 г/л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0,10 %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8,130 Мт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9"/>
              </w:rPr>
              <w:t>7,60 г/л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Порог солёности для чувствительных культур — около 1 г/л. При грунте с 0,05 % растворимых солей нужно вынести 3,0 Мт, что при концентрации рассола 30 г/л даёт 99,9 млн м³ — это 3,2 м³/с в течение года или 0,32 м³/с в течение десяти лет. Объём значим, но выполним один раз при вводе в эксплуатацию.</w:t>
      </w:r>
    </w:p>
    <w:p>
      <w:r>
        <w:rPr>
          <w:b w:val="0"/>
          <w:i w:val="0"/>
        </w:rPr>
        <w:t>Непрерывный вход солей мал: удобрения (10 000 т/год солей в пересчёте на N, P, K) требуют вывоза 333 м³/год, makeup-вода при солёности 0,2 г/л — 292 т/год. Следовательно, задача не в непрерывной борьбе, а в одном комиссионном мероприятии: промывке грунта при заселении.</w:t>
      </w:r>
    </w:p>
    <w:p>
      <w:r>
        <w:rPr>
          <w:b w:val="0"/>
          <w:i w:val="0"/>
        </w:rPr>
        <w:t>Проектное следствие: спецификация на грунт должна ограничивать растворимые соли сверху (ориентировочно 0,01 %), либо в программу ввода в эксплуатацию включается промывка с выводом рассола.</w:t>
      </w:r>
    </w:p>
    <w:p>
      <w:pPr>
        <w:pStyle w:val="Heading2"/>
      </w:pPr>
      <w:r>
        <w:t>24.4. Энергия влагооборота</w:t>
      </w:r>
    </w:p>
    <w:p>
      <w:pPr>
        <w:keepNext/>
        <w:spacing w:before="160" w:after="60"/>
      </w:pPr>
      <w:r>
        <w:rPr>
          <w:b/>
          <w:sz w:val="19"/>
        </w:rPr>
        <w:t>Таблица 24.2 — Энергия замкнутого влагооборота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92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Испарение за год</w:t>
            </w:r>
          </w:p>
        </w:tc>
        <w:tc>
          <w:tcPr>
            <w:tcW w:type="dxa" w:w="1587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Поток</w:t>
            </w:r>
          </w:p>
        </w:tc>
        <w:tc>
          <w:tcPr>
            <w:tcW w:type="dxa" w:w="204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Мощность на 5 м подъёма</w:t>
            </w:r>
          </w:p>
        </w:tc>
        <w:tc>
          <w:tcPr>
            <w:tcW w:type="dxa" w:w="1587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на 20 м</w:t>
            </w:r>
          </w:p>
        </w:tc>
        <w:tc>
          <w:tcPr>
            <w:tcW w:type="dxa" w:w="1701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на 100 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0,4 м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36,2 м³/с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1,8 МВт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7,1 МВт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35,5 МВт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0,8 м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72,4 м³/с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3,6 МВт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14,2 МВт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71,0 МВт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1,2 м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108,5 м³/с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9"/>
              </w:rPr>
              <w:t>5,3 МВт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9"/>
              </w:rPr>
              <w:t>21,3 МВт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106,4 МВт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При влагообороте 0,8 м/год и подъёме на 20 м затрата составляет 14 МВт — 0,07 % от 20 ГВт систем жизнеобеспечения. Величина управляемая, но её следует внести в энергобаланс (п. 4.13.6) явной строкой, а не растворять в общем итоге.</w:t>
      </w:r>
    </w:p>
    <w:p>
      <w:pPr>
        <w:pStyle w:val="Heading1"/>
      </w:pPr>
      <w:r>
        <w:t>25. Масштабирование архитектуры</w:t>
      </w:r>
    </w:p>
    <w:p>
      <w:r>
        <w:rPr>
          <w:b w:val="0"/>
          <w:i w:val="0"/>
        </w:rPr>
        <w:t>В публикации нет сравнения с другими обитаемыми архитектурами. Между тем выбор радиуса — главный выбор проекта, и он определяет всё остальное.</w:t>
      </w:r>
    </w:p>
    <w:p>
      <w:pPr>
        <w:keepNext/>
        <w:spacing w:before="160" w:after="60"/>
      </w:pPr>
      <w:r>
        <w:rPr>
          <w:b/>
          <w:sz w:val="19"/>
        </w:rPr>
        <w:t>Таблица 25.1 — Зависимость параметров от радиуса (сталь, 1308 МПа)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</w:tblGrid>
      <w:tr>
        <w:tc>
          <w:tcPr>
            <w:tcW w:type="dxa" w:w="192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R, м</w:t>
            </w:r>
          </w:p>
        </w:tc>
        <w:tc>
          <w:tcPr>
            <w:tcW w:type="dxa" w:w="1077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об/мин</w:t>
            </w:r>
          </w:p>
        </w:tc>
        <w:tc>
          <w:tcPr>
            <w:tcW w:type="dxa" w:w="1757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Градиент g на 1,7 м</w:t>
            </w:r>
          </w:p>
        </w:tc>
        <w:tc>
          <w:tcPr>
            <w:tcW w:type="dxa" w:w="147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Кориолис при 1 м/с</w:t>
            </w:r>
          </w:p>
        </w:tc>
        <w:tc>
          <w:tcPr>
            <w:tcW w:type="dxa" w:w="1417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Обшивка, кг/м²</w:t>
            </w:r>
          </w:p>
        </w:tc>
        <w:tc>
          <w:tcPr>
            <w:tcW w:type="dxa" w:w="147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Период вращения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2,990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1,7000 %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0,0639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133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0,13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1,891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0,6800 %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0,0404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334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0,21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1,337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0,3400 %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0,0286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667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0,30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893 (тор Стэнфорда)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1,001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0,1904 %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0,0214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1192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0,40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5000 (ММОСО’Н)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0,423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0,0340 %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0,0090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6674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0,95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20000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0,211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0,0085 %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0,0045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26695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1,89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100000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0,095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0,0017 %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0,0020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133474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4,23 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460000 (Мак-Киндри)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sz w:val="19"/>
              </w:rPr>
              <w:t>0,044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9"/>
              </w:rPr>
              <w:t>0,0004 %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0,0009 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1141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9"/>
              </w:rPr>
              <w:t>9,07 ч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Обшивка считается при проектном давлении 222,4 кПа и допускаемом 1308 МПа; для Мак-Киндри — при углепластике на углеродных нанотрубках (130 ГПа, 1450 кг/м³).</w:t>
      </w:r>
    </w:p>
    <w:p>
      <w:pPr>
        <w:pStyle w:val="Heading2"/>
      </w:pPr>
      <w:r>
        <w:t>25.1. Два вывода</w:t>
      </w:r>
    </w:p>
    <w:p>
      <w:pPr>
        <w:pStyle w:val="ListBullet"/>
        <w:spacing w:after="60"/>
      </w:pPr>
      <w:r>
        <w:t>Радиус покупает комфорт, а не экономию. Масса обшивки на квадратный метр растёт линейно с радиусом: 6674 кг/м² при R = 5000 м против 1192 кг/м² у тора Стэнфорда. Выигрыш ММОСО’Н — в градиенте тяжести (0,034 % против 0,19 %) и в эффекте Кориолиса (0,009 g против 0,021 g), то есть в том, что человек не замечает вращения.</w:t>
      </w:r>
    </w:p>
    <w:p>
      <w:pPr>
        <w:pStyle w:val="ListBullet"/>
        <w:spacing w:after="60"/>
      </w:pPr>
      <w:r>
        <w:t>Сутки вращением получить нельзя. Радиус, при котором период вращения равен 24 ч, составляет 1,854·10⁹ м — 1,85 млн км. При любом реальном радиусе период равен минутам. Следовательно, имитация суточного цикла возможна только полосой тьмы, как это и сделано в п. 4.13.5. Это стоит записать как доказательство выбранного решения, а не как констатацию.</w:t>
      </w:r>
    </w:p>
    <w:p>
      <w:pPr>
        <w:pStyle w:val="Heading1"/>
      </w:pPr>
      <w:r>
        <w:t>26. Связь с Землёй из точки L1</w:t>
      </w:r>
    </w:p>
    <w:p>
      <w:r>
        <w:rPr>
          <w:b w:val="0"/>
          <w:i w:val="0"/>
        </w:rPr>
        <w:t>Размещение в точке L1 (п. 4.6) выбрано по энергетическим и тепловым соображениям. Его следствия для связи в публикации не рассчитаны, хотя они определяют и управляемость, и экономику.</w:t>
      </w:r>
    </w:p>
    <w:p>
      <w:pPr>
        <w:pStyle w:val="Heading2"/>
      </w:pPr>
      <w:r>
        <w:t>26.1. Задержка</w:t>
      </w:r>
    </w:p>
    <w:p>
      <w:r>
        <w:rPr>
          <w:b w:val="0"/>
          <w:i w:val="0"/>
        </w:rPr>
        <w:t>Удаление L1 — Земля 1,5·10⁶ км. Время распространения — 5,00 с в одну сторону и 10,0 с туда-обратно. Угловой радиус Земли с L1 0,2434° — Земля выглядит почти как Солнце с Земли (0,2666°).</w:t>
      </w:r>
    </w:p>
    <w:p>
      <w:r>
        <w:rPr>
          <w:b w:val="0"/>
          <w:i w:val="0"/>
        </w:rPr>
        <w:t>Следствие: телеуправление чем-либо на Земле невозможно, а любые совместные действия запаздывают на 10 с. Станция обязана быть самоуправляемой в реальном времени, и это аргумент в пользу модели государственности (раздел 13), а не только техническая деталь.</w:t>
      </w:r>
    </w:p>
    <w:p>
      <w:pPr>
        <w:pStyle w:val="Heading2"/>
      </w:pPr>
      <w:r>
        <w:t>26.2. Бюджет линии</w:t>
      </w:r>
    </w:p>
    <w:p>
      <w:pPr>
        <w:keepNext/>
        <w:spacing w:before="160" w:after="60"/>
      </w:pPr>
      <w:r>
        <w:rPr>
          <w:b/>
          <w:sz w:val="19"/>
        </w:rPr>
        <w:t>Таблица 26.1 — Бюджет линии связи на 1,5·10⁶ км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3"/>
        <w:gridCol w:w="1183"/>
        <w:gridCol w:w="1183"/>
        <w:gridCol w:w="1183"/>
        <w:gridCol w:w="1183"/>
        <w:gridCol w:w="1183"/>
        <w:gridCol w:w="1183"/>
        <w:gridCol w:w="1183"/>
      </w:tblGrid>
      <w:tr>
        <w:tc>
          <w:tcPr>
            <w:tcW w:type="dxa" w:w="1361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Канал</w:t>
            </w:r>
          </w:p>
        </w:tc>
        <w:tc>
          <w:tcPr>
            <w:tcW w:type="dxa" w:w="1191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Длина волны</w:t>
            </w:r>
          </w:p>
        </w:tc>
        <w:tc>
          <w:tcPr>
            <w:tcW w:type="dxa" w:w="964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Антенна</w:t>
            </w:r>
          </w:p>
        </w:tc>
        <w:tc>
          <w:tcPr>
            <w:tcW w:type="dxa" w:w="964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Мощность</w:t>
            </w:r>
          </w:p>
        </w:tc>
        <w:tc>
          <w:tcPr>
            <w:tcW w:type="dxa" w:w="1134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Затухание</w:t>
            </w:r>
          </w:p>
        </w:tc>
        <w:tc>
          <w:tcPr>
            <w:tcW w:type="dxa" w:w="1134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Приём</w:t>
            </w:r>
          </w:p>
        </w:tc>
        <w:tc>
          <w:tcPr>
            <w:tcW w:type="dxa" w:w="907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С/Ш</w:t>
            </w:r>
          </w:p>
        </w:tc>
        <w:tc>
          <w:tcPr>
            <w:tcW w:type="dxa" w:w="1361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Практич. поток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Радио Ka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9,37 мм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10 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100 Вт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246,1 дБ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−59,5 дБм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7"/>
              </w:rPr>
              <w:t>24,5 дБ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5,0 Гбит/с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Радио Ka+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9,37 мм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25 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1 кВт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246,1 дБ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−33,6 дБм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7"/>
              </w:rPr>
              <w:t>47,4 дБ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10,0 Гбит/с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Оптика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1,55 мкм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1 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5 Вт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321,7 дБ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−36,9 дБм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7"/>
              </w:rPr>
              <w:t>37,1 дБ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80,0 Гбит/с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7"/>
              </w:rPr>
              <w:t>Оптика+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17"/>
              </w:rPr>
              <w:t>1,55 мкм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3 м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sz w:val="17"/>
              </w:rPr>
              <w:t>50 Вт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321,7 дБ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−7,8 дБм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7"/>
              </w:rPr>
              <w:t>60,2 дБ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17"/>
              </w:rPr>
              <w:t>320,0 Гбит/с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Практический поток рассчитан при спектральной эффективности 5 бит/(с·Гц) для радио и 8 бит/(с·Гц) для когерентной оптики; предел Шеннона выше в 1,5–2,5 раза.</w:t>
      </w:r>
    </w:p>
    <w:p>
      <w:pPr>
        <w:pStyle w:val="Heading2"/>
      </w:pPr>
      <w:r>
        <w:t>26.3. Сколько нужно терминалов</w:t>
      </w:r>
    </w:p>
    <w:p>
      <w:r>
        <w:rPr>
          <w:b w:val="0"/>
          <w:i w:val="0"/>
        </w:rPr>
        <w:t>При норме 1 Мбит/с на человека потребность 1 млн жителей — 1000 Гбит/с.</w:t>
      </w:r>
    </w:p>
    <w:p>
      <w:pPr>
        <w:keepNext/>
        <w:spacing w:before="160" w:after="60"/>
      </w:pPr>
      <w:r>
        <w:rPr>
          <w:b/>
          <w:sz w:val="19"/>
        </w:rPr>
        <w:t>Таблица 26.2 — Потребность в терминалах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494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294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Поток на терминал</w:t>
            </w:r>
          </w:p>
        </w:tc>
        <w:tc>
          <w:tcPr>
            <w:tcW w:type="dxa" w:w="2608"/>
            <w:shd w:fill="DEEAF6"/>
          </w:tcPr>
          <w:p>
            <w:pPr>
              <w:jc w:val="center"/>
            </w:pPr>
            <w:r/>
            <w:r>
              <w:rPr>
                <w:b/>
                <w:sz w:val="19"/>
              </w:rPr>
              <w:t>Нужно терминалов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Радио Ka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5,0 Гбит/с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200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Радио Ka+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10,0 Гбит/с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Оптика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80,0 Гбит/с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Оптика+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19"/>
              </w:rPr>
              <w:t>320,0 Гбит/с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Оптический канал выигрывает на порядки: двенадцать однометровых телескопов по 5 Вт закрывают потребность миллиона человек, тогда как радиоканал требует двухсот десятиметровых антенн по 100 Вт. Это определяет выбор: оптическая линия как основная, радио как резервная.</w:t>
      </w:r>
    </w:p>
    <w:p>
      <w:r>
        <w:rPr>
          <w:b w:val="0"/>
          <w:i w:val="0"/>
        </w:rPr>
        <w:t>Дополнительное преимущество L1, которого нет у других точек: Земля всегда в направлении от Солнца, поэтому антенны не смотрят на Солнце и солнечное затмение линии невозможно в принципе.</w:t>
      </w:r>
    </w:p>
    <w:p>
      <w:pPr>
        <w:pStyle w:val="Heading1"/>
      </w:pPr>
      <w:r>
        <w:t>27. Сводка найденных пробелов</w:t>
      </w:r>
    </w:p>
    <w:p>
      <w:pPr>
        <w:keepNext/>
        <w:spacing w:before="160" w:after="60"/>
      </w:pPr>
      <w:r>
        <w:rPr>
          <w:b/>
          <w:sz w:val="19"/>
        </w:rPr>
        <w:t>Таблица 27.1 — Сводка семи областей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701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3515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Ключевой результат</w:t>
            </w:r>
          </w:p>
        </w:tc>
        <w:tc>
          <w:tcPr>
            <w:tcW w:type="dxa" w:w="3402"/>
            <w:shd w:fill="DEEAF6"/>
          </w:tcPr>
          <w:p>
            <w:pPr>
              <w:jc w:val="center"/>
            </w:pPr>
            <w:r/>
            <w:r>
              <w:rPr>
                <w:b/>
                <w:sz w:val="17"/>
              </w:rPr>
              <w:t>Следствие для проекта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Носовые купола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509 МПа на полюсе против 1308 МПа в цилиндре; стык касательный, запас 1,12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Купола не критичны; обитаемая площадь 1256,6 км², а не 1550,1 км²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Потеря вращения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Вращение = 18,4 суток полной мощности; оболочка разгружается на 13 %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Аварийный режим на недели; обязателен синхронный останов цилиндров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Визуальная среда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Горизонт 131 м поперёк оси; ОСБ — линия 0,092°; 71 % света из конуса 45°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Навигация только по осевой координате; новый психофизический фактор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Химия воздуха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1 кВт УФ-С даёт 0,022 ppb озона; S/V в 7000 раз меньше комнатного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Спектр ОСБ ограничить снизу 280 нм; система уничтожения ЛОС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Почва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Уклон нуль; засоление 3,0 Мт при 0,05 % солей; эрозия 28 500 лет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Промывка грунта при вводе; ограничение солей в спецификации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Масштабирование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Обшивка растёт линейно с R; сутки вращением невозможны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Выбор R = 5000 м — комфорт, не экономия; полоса тьмы единственна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Связь с L1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sz w:val="17"/>
              </w:rPr>
              <w:t>10 с туда-обратно; 12 оптических терминалов на 1 млн человек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7"/>
              </w:rPr>
              <w:t>Оптическая линия основная; самостоятельное управление в реальном времени</w:t>
            </w:r>
          </w:p>
        </w:tc>
      </w:tr>
    </w:tbl>
    <w:p>
      <w:pPr>
        <w:spacing w:after="40"/>
      </w:pPr>
    </w:p>
    <w:p>
      <w:pPr>
        <w:pStyle w:val="Heading2"/>
      </w:pPr>
      <w:r>
        <w:t>27.1. Что осталось открытым</w:t>
      </w:r>
    </w:p>
    <w:p>
      <w:pPr>
        <w:pStyle w:val="ListBullet"/>
        <w:spacing w:after="60"/>
      </w:pPr>
      <w:r>
        <w:t>Полная механика торца: изгиб в районе стыка и поведение при неравномерной нагрузке от оборудования технических зон.</w:t>
      </w:r>
    </w:p>
    <w:p>
      <w:pPr>
        <w:pStyle w:val="ListBullet"/>
        <w:spacing w:after="60"/>
      </w:pPr>
      <w:r>
        <w:t>Модель аварийного останова: время торможения от трения подшипниковых узлов и сопротивления атмосферы.</w:t>
      </w:r>
    </w:p>
    <w:p>
      <w:pPr>
        <w:pStyle w:val="ListBullet"/>
        <w:spacing w:after="60"/>
      </w:pPr>
      <w:r>
        <w:t>Химия атмосферы как система: гидроксильный радикал, озон, метан и окислы азота во взаимодействии, по аналогии с разделом 16.</w:t>
      </w:r>
    </w:p>
    <w:p>
      <w:pPr>
        <w:pStyle w:val="ListBullet"/>
        <w:spacing w:after="60"/>
      </w:pPr>
      <w:r>
        <w:t>Почвенный профиль как многослойная система: дренаж, водоудержание, буферная ёмкость.</w:t>
      </w:r>
    </w:p>
    <w:p>
      <w:pPr>
        <w:pStyle w:val="ListBullet"/>
        <w:spacing w:after="60"/>
      </w:pPr>
      <w:r>
        <w:t>Спецификация грунта и материалов по испаряемости.</w:t>
      </w:r>
    </w:p>
    <w:p>
      <w:r>
        <w:rPr>
          <w:b w:val="0"/>
          <w:i w:val="0"/>
        </w:rPr>
      </w:r>
    </w:p>
    <w:p>
      <w:r>
        <w:rPr>
          <w:b w:val="0"/>
          <w:i/>
          <w:sz w:val="19"/>
        </w:rPr>
        <w:t>Расчётный скрипт: src/supplement_calcs.py. Результаты в машинно-читаемом виде: src/supplement_results.json.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