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18"/>
        </w:rPr>
        <w:t>ММОСО'Н — модуль моделирования орбитальной станции О'Нилла</w:t>
      </w:r>
    </w:p>
    <w:p>
      <w:pPr>
        <w:jc w:val="center"/>
      </w:pPr>
      <w:r>
        <w:rPr>
          <w:i/>
          <w:sz w:val="18"/>
        </w:rPr>
        <w:t>Приложение Б / Appendix Б</w:t>
      </w:r>
    </w:p>
    <w:p>
      <w:pPr>
        <w:jc w:val="center"/>
      </w:pPr>
      <w:r>
        <w:rPr>
          <w:b/>
          <w:color w:val="1F3864"/>
          <w:sz w:val="26"/>
        </w:rPr>
        <w:t>ПРИЛОЖЕНИЕ Б. ОБОСНОВАНИЕ РАСЧЁТОВ</w:t>
      </w:r>
    </w:p>
    <w:p>
      <w:pPr>
        <w:jc w:val="center"/>
      </w:pPr>
      <w:r>
        <w:rPr>
          <w:b/>
          <w:color w:val="1F3864"/>
          <w:sz w:val="26"/>
        </w:rPr>
        <w:t>APPENDIX B. JUSTIFICATION OF CALCULATIONS</w:t>
      </w:r>
    </w:p>
    <w:p>
      <w:pPr>
        <w:jc w:val="center"/>
      </w:pPr>
      <w:r>
        <w:rPr>
          <w:i/>
          <w:sz w:val="17"/>
        </w:rPr>
        <w:t>Редакция 8 · 31 октября 2026 г.  ·  документ 37 из 43</w:t>
      </w:r>
    </w:p>
    <w:p>
      <w:pPr>
        <w:jc w:val="center"/>
      </w:pPr>
      <w:r>
        <w:rPr>
          <w:color w:val="808080"/>
          <w:sz w:val="16"/>
        </w:rPr>
        <w:t>——————————————————————————————————</w:t>
      </w:r>
    </w:p>
    <w:p>
      <w:pPr>
        <w:spacing w:before="200"/>
        <w:jc w:val="center"/>
      </w:pPr>
      <w:r>
        <w:rPr>
          <w:b/>
          <w:color w:val="2E5496"/>
          <w:sz w:val="17"/>
        </w:rPr>
        <w:t>РУССКАЯ РЕДАКЦИЯ / РУССКИЙ ТЕКСТ</w:t>
      </w:r>
    </w:p>
    <w:p>
      <w:pPr>
        <w:pStyle w:val="Heading1"/>
        <w:keepNext/>
        <w:pageBreakBefore w:val="0"/>
        <w:spacing w:after="40"/>
        <w:jc w:val="left"/>
      </w:pPr>
      <w:r>
        <w:rPr>
          <w:rFonts w:ascii="Times New Roman" w:hAnsi="Times New Roman" w:eastAsia="Times New Roman"/>
          <w:b/>
          <w:i w:val="0"/>
          <w:color w:val="1F3A5F"/>
          <w:sz w:val="30"/>
        </w:rPr>
        <w:t>ПРИЛОЖЕНИЕ Б. ОБОСНОВАНИЕ РАСЧЁТОВ</w:t>
      </w:r>
    </w:p>
    <w:p>
      <w:pPr>
        <w:pageBreakBefore w:val="0"/>
        <w:spacing w:after="80" w:line="269" w:lineRule="auto"/>
        <w:ind w:firstLine="397"/>
        <w:jc w:val="both"/>
      </w:pPr>
      <w:r>
        <w:rPr>
          <w:rFonts w:ascii="Times New Roman" w:hAnsi="Times New Roman" w:eastAsia="Times New Roman"/>
          <w:b w:val="0"/>
          <w:i w:val="0"/>
          <w:color w:val="20252B"/>
          <w:sz w:val="20"/>
        </w:rPr>
        <w:t>Настоящее приложение составлено по требованию руководителя проекта и содержит обоснование каждого расчёта документа: исходный физический закон, принятые допущения, границы применимости и указание на то, что именно делает результат достоверным или ограниченно достоверным. Порядок изложения соответствует порядку разделов.</w:t>
      </w:r>
    </w:p>
    <w:p>
      <w:pPr>
        <w:pageBreakBefore w:val="0"/>
        <w:spacing w:after="80" w:line="269" w:lineRule="auto"/>
        <w:ind w:firstLine="709"/>
        <w:jc w:val="both"/>
      </w:pPr>
      <w:r>
        <w:rPr>
          <w:rFonts w:ascii="Times New Roman" w:hAnsi="Times New Roman" w:eastAsia="Times New Roman"/>
          <w:b w:val="0"/>
          <w:i w:val="0"/>
          <w:color w:val="20252B"/>
          <w:sz w:val="20"/>
        </w:rPr>
        <w:t>Б.1. Кинематика вращения</w:t>
      </w:r>
    </w:p>
    <w:p>
      <w:pPr>
        <w:pageBreakBefore w:val="0"/>
        <w:spacing w:after="80" w:line="269" w:lineRule="auto"/>
        <w:ind w:firstLine="397"/>
        <w:jc w:val="both"/>
      </w:pPr>
      <w:r>
        <w:rPr>
          <w:rFonts w:ascii="Times New Roman" w:hAnsi="Times New Roman" w:eastAsia="Times New Roman"/>
          <w:b w:val="0"/>
          <w:i w:val="0"/>
          <w:color w:val="20252B"/>
          <w:sz w:val="20"/>
        </w:rPr>
        <w:t>Основание — второй закон Ньютона во вращающейся системе отсчёта. Требование a = g при радиусе R даёт ω = √(g/R); при R = 5 000 м и g = 9,80665 м/с² получается ω = 0,04429 рад/с, период T = 2π/ω = 141,9 с, окружная скорость v = ωR = 221,5 м/с. Допущение единственное: тело покоится относительно оболочки. Результат точен в пределах округления и не содержит эмпирических коэффициентов.</w:t>
      </w:r>
    </w:p>
    <w:p>
      <w:pPr>
        <w:pageBreakBefore w:val="0"/>
        <w:spacing w:after="80" w:line="269" w:lineRule="auto"/>
        <w:ind w:firstLine="397"/>
        <w:jc w:val="both"/>
      </w:pPr>
      <w:r>
        <w:rPr>
          <w:rFonts w:ascii="Times New Roman" w:hAnsi="Times New Roman" w:eastAsia="Times New Roman"/>
          <w:b w:val="0"/>
          <w:i w:val="0"/>
          <w:color w:val="20252B"/>
          <w:sz w:val="20"/>
        </w:rPr>
        <w:t>Ограничение по частоте вращения принято по данным наземных и орбитальных экспериментов с вестибулярной адаптацией: 0,423 об/мин лежит существенно ниже порога 2 об/мин, при котором начинаются жалобы у неадаптированных испытуемых. Это единственное место кинематики, где используется эмпирический критерий, а не закон; критерий заимствован и в рамках проекта не проверялся.</w:t>
      </w:r>
    </w:p>
    <w:p>
      <w:pPr>
        <w:pageBreakBefore w:val="0"/>
        <w:spacing w:after="80" w:line="269" w:lineRule="auto"/>
        <w:ind w:firstLine="709"/>
        <w:jc w:val="both"/>
      </w:pPr>
      <w:r>
        <w:rPr>
          <w:rFonts w:ascii="Times New Roman" w:hAnsi="Times New Roman" w:eastAsia="Times New Roman"/>
          <w:b w:val="0"/>
          <w:i w:val="0"/>
          <w:color w:val="20252B"/>
          <w:sz w:val="20"/>
        </w:rPr>
        <w:t>Б.2. Геометрия и объёмы</w:t>
      </w:r>
    </w:p>
    <w:p>
      <w:pPr>
        <w:pageBreakBefore w:val="0"/>
        <w:spacing w:after="80" w:line="269" w:lineRule="auto"/>
        <w:ind w:firstLine="397"/>
        <w:jc w:val="both"/>
      </w:pPr>
      <w:r>
        <w:rPr>
          <w:rFonts w:ascii="Times New Roman" w:hAnsi="Times New Roman" w:eastAsia="Times New Roman"/>
          <w:b w:val="0"/>
          <w:i w:val="0"/>
          <w:color w:val="20252B"/>
          <w:sz w:val="20"/>
        </w:rPr>
        <w:t>Цилиндрическая часть: V = πR²L, боковая поверхность S = 2πRL. Торцевые части приняты сплюснутыми полусфероидами с экваториальным радиусом 5 000 м и полярной полуосью 4 500 м; их объём V = (2/3)πa²c, площадь вычислена по точной формуле для сфероида через эксцентриситет. Приближение полусферой здесь недопустимо: оно завышает объём торцов на 11 %.</w:t>
      </w:r>
    </w:p>
    <w:p>
      <w:pPr>
        <w:pageBreakBefore w:val="0"/>
        <w:spacing w:after="80" w:line="269" w:lineRule="auto"/>
        <w:ind w:firstLine="397"/>
        <w:jc w:val="both"/>
      </w:pPr>
      <w:r>
        <w:rPr>
          <w:rFonts w:ascii="Times New Roman" w:hAnsi="Times New Roman" w:eastAsia="Times New Roman"/>
          <w:b w:val="0"/>
          <w:i w:val="0"/>
          <w:color w:val="20252B"/>
          <w:sz w:val="20"/>
        </w:rPr>
        <w:t>Торцевые части моделируются как сплюснутые полусфероиды: площадь двух торцов 293,4 км², объём 471,2 км³. Эти значения используются во всех геометрических и массовых расчётах.</w:t>
      </w:r>
    </w:p>
    <w:p>
      <w:pPr>
        <w:pageBreakBefore w:val="0"/>
        <w:spacing w:after="80" w:line="269" w:lineRule="auto"/>
        <w:ind w:firstLine="709"/>
        <w:jc w:val="both"/>
      </w:pPr>
      <w:r>
        <w:rPr>
          <w:rFonts w:ascii="Times New Roman" w:hAnsi="Times New Roman" w:eastAsia="Times New Roman"/>
          <w:b w:val="0"/>
          <w:i w:val="0"/>
          <w:color w:val="20252B"/>
          <w:sz w:val="20"/>
        </w:rPr>
        <w:t>Б.3. Прочность оболочки</w:t>
      </w:r>
    </w:p>
    <w:p>
      <w:pPr>
        <w:pageBreakBefore w:val="0"/>
        <w:spacing w:after="80" w:line="269" w:lineRule="auto"/>
        <w:ind w:firstLine="397"/>
        <w:jc w:val="both"/>
      </w:pPr>
      <w:r>
        <w:rPr>
          <w:rFonts w:ascii="Times New Roman" w:hAnsi="Times New Roman" w:eastAsia="Times New Roman"/>
          <w:b w:val="0"/>
          <w:i w:val="0"/>
          <w:color w:val="20252B"/>
          <w:sz w:val="20"/>
        </w:rPr>
        <w:t>Основание — уравнение Лапласа для тонкостенной оболочки вращения. Условие тонкостенности t/R = 0,85/5 000 = 1,7·10⁻⁴ выполняется с большим запасом, поэтому распределением напряжения по толщине можно пренебречь и применять безмоментную теорию.</w:t>
      </w:r>
    </w:p>
    <w:p>
      <w:pPr>
        <w:pageBreakBefore w:val="0"/>
        <w:spacing w:after="80" w:line="269" w:lineRule="auto"/>
        <w:ind w:firstLine="397"/>
        <w:jc w:val="both"/>
      </w:pPr>
      <w:r>
        <w:rPr>
          <w:rFonts w:ascii="Times New Roman" w:hAnsi="Times New Roman" w:eastAsia="Times New Roman"/>
          <w:b w:val="0"/>
          <w:i w:val="0"/>
          <w:color w:val="20252B"/>
          <w:sz w:val="20"/>
        </w:rPr>
        <w:t>Кольцевое напряжение σ = qR/t, где q — суммарная радиальная нагрузка от центробежных сил грунта, воды и атмосферы, отнесённая к единице площади оболочки. Осевое напряжение σос = pR/2t создаётся давлением атмосферы на торцы. Существенно, что оба напряжения растягивающие: это исключает потерю устойчивости как форму разрушения и оставляет единственным критерием прочность на разрыв (см. п. 4.15).</w:t>
      </w:r>
    </w:p>
    <w:p>
      <w:pPr>
        <w:pageBreakBefore w:val="0"/>
        <w:spacing w:after="80" w:line="269" w:lineRule="auto"/>
        <w:ind w:firstLine="397"/>
        <w:jc w:val="both"/>
      </w:pPr>
      <w:r>
        <w:rPr>
          <w:rFonts w:ascii="Times New Roman" w:hAnsi="Times New Roman" w:eastAsia="Times New Roman"/>
          <w:b w:val="0"/>
          <w:i w:val="0"/>
          <w:color w:val="20252B"/>
          <w:sz w:val="20"/>
        </w:rPr>
        <w:t>Собственная масса оболочки в расчёт кольцевого напряжения включена: она добавляет к нагрузке слагаемое ρω²R²·t, что при принятых величинах составляет заметную долю. Запас 1,53 отнесён к пределу прочности стали 18Ni(300) 2 000 МПа, а не к пределу текучести 1 333 МПа; при отнесении к текучести запас составит 1,02, что следует считать нижней границей и основанием для дальнейшего уточнения толщины пояса.</w:t>
      </w:r>
    </w:p>
    <w:p>
      <w:pPr>
        <w:pageBreakBefore w:val="0"/>
        <w:spacing w:after="80" w:line="269" w:lineRule="auto"/>
        <w:ind w:firstLine="709"/>
        <w:jc w:val="both"/>
      </w:pPr>
      <w:r>
        <w:rPr>
          <w:rFonts w:ascii="Times New Roman" w:hAnsi="Times New Roman" w:eastAsia="Times New Roman"/>
          <w:b w:val="0"/>
          <w:i w:val="0"/>
          <w:color w:val="20252B"/>
          <w:sz w:val="20"/>
        </w:rPr>
        <w:t>Б.4. Массы</w:t>
      </w:r>
    </w:p>
    <w:p>
      <w:pPr>
        <w:pageBreakBefore w:val="0"/>
        <w:spacing w:after="80" w:line="269" w:lineRule="auto"/>
        <w:ind w:firstLine="397"/>
        <w:jc w:val="both"/>
      </w:pPr>
      <w:r>
        <w:rPr>
          <w:rFonts w:ascii="Times New Roman" w:hAnsi="Times New Roman" w:eastAsia="Times New Roman"/>
          <w:b w:val="0"/>
          <w:i w:val="0"/>
          <w:color w:val="20252B"/>
          <w:sz w:val="20"/>
        </w:rPr>
        <w:t>Масса конструкционного пакета получена умножением полной площади оболочки (цилиндр плюс два торца) на толщины слоёв и их плотности по таблице 4.2: силовой пояс 0,85 м стали, гермооболочка 0,05 м стали, радиационная защита 1,00 м реголита. Масса грунта и воды принята по проектным нормам слоя. Погрешность определяется точностью плотности реголита и оценивается в 5 %.</w:t>
      </w:r>
    </w:p>
    <w:p>
      <w:pPr>
        <w:pageBreakBefore w:val="0"/>
        <w:spacing w:after="80" w:line="269" w:lineRule="auto"/>
        <w:ind w:firstLine="397"/>
        <w:jc w:val="both"/>
      </w:pPr>
      <w:r>
        <w:rPr>
          <w:rFonts w:ascii="Times New Roman" w:hAnsi="Times New Roman" w:eastAsia="Times New Roman"/>
          <w:b w:val="0"/>
          <w:i w:val="0"/>
          <w:color w:val="20252B"/>
          <w:sz w:val="20"/>
        </w:rPr>
        <w:t>Масса атмосферы вычислена интегрированием по вращающемуся объёму. Барометрический закон даёт 3,77 млрд т на цилиндр и 7,55 млрд т на станцию; отношение плотностей «ось/стенка» равно 0,747, давление на оси — 74,7 кПа.</w:t>
      </w:r>
    </w:p>
    <w:p>
      <w:pPr>
        <w:pageBreakBefore w:val="0"/>
        <w:spacing w:after="80" w:line="269" w:lineRule="auto"/>
        <w:ind w:firstLine="709"/>
        <w:jc w:val="both"/>
      </w:pPr>
      <w:r>
        <w:rPr>
          <w:rFonts w:ascii="Times New Roman" w:hAnsi="Times New Roman" w:eastAsia="Times New Roman"/>
          <w:b w:val="0"/>
          <w:i w:val="0"/>
          <w:color w:val="20252B"/>
          <w:sz w:val="20"/>
        </w:rPr>
        <w:t>Б.5. Энергетика и теплоотвод</w:t>
      </w:r>
    </w:p>
    <w:p>
      <w:pPr>
        <w:pageBreakBefore w:val="0"/>
        <w:spacing w:after="80" w:line="269" w:lineRule="auto"/>
        <w:ind w:firstLine="397"/>
        <w:jc w:val="both"/>
      </w:pPr>
      <w:r>
        <w:rPr>
          <w:rFonts w:ascii="Times New Roman" w:hAnsi="Times New Roman" w:eastAsia="Times New Roman"/>
          <w:b w:val="0"/>
          <w:i w:val="0"/>
          <w:color w:val="20252B"/>
          <w:sz w:val="20"/>
        </w:rPr>
        <w:t>Основание — закон Стефана — Больцмана: отводимая мощность пропорциональна четвёртой степени абсолютной температуры радиатора. Именно эта зависимость делает низкотемпературный сброс дорогим по площади и оправдывает применение тепловых насосов: подъём температуры радиатора с 25 до 60 °C сокращает потребную площадь в 1,5 раза ценой 96 ГВт на привод насосов при COP = 6.</w:t>
      </w:r>
    </w:p>
    <w:p>
      <w:pPr>
        <w:pageBreakBefore w:val="0"/>
        <w:spacing w:after="80" w:line="269" w:lineRule="auto"/>
        <w:ind w:firstLine="397"/>
        <w:jc w:val="both"/>
      </w:pPr>
      <w:r>
        <w:rPr>
          <w:rFonts w:ascii="Times New Roman" w:hAnsi="Times New Roman" w:eastAsia="Times New Roman"/>
          <w:b w:val="0"/>
          <w:i w:val="0"/>
          <w:color w:val="20252B"/>
          <w:sz w:val="20"/>
        </w:rPr>
        <w:t>Потребная площадь 1 022 км² отвечает низкотемпературной нагрузке 677 ГВт при температуре 333 K и степени черноты 0,95. Нагрузка меньше полной электрической мощности 721,4 ГВт на 44,4 ГВт, уносимые струёй масс-драйвера за пределы станции (п. 11.5). Высокотемпературный сброс реакторов составляет 882 ГВт при 800 °C и вынесен на отдельные радиаторы площадью около 12,4 км²: смешивать контуры разных температур недопустимо, поскольку площадь определяется четвёртой степенью температуры. При ε = 0,90 площадь низкотемпературного контура возрастает примерно до 1 079 км²; запас остаётся около 1,37. Основным принятым расчётом остаётся ε = 0,95.</w:t>
      </w:r>
    </w:p>
    <w:p>
      <w:pPr>
        <w:pageBreakBefore w:val="0"/>
        <w:spacing w:after="80" w:line="269" w:lineRule="auto"/>
        <w:ind w:firstLine="709"/>
        <w:jc w:val="both"/>
      </w:pPr>
      <w:r>
        <w:rPr>
          <w:rFonts w:ascii="Times New Roman" w:hAnsi="Times New Roman" w:eastAsia="Times New Roman"/>
          <w:b w:val="0"/>
          <w:i w:val="0"/>
          <w:color w:val="20252B"/>
          <w:sz w:val="20"/>
        </w:rPr>
        <w:t>Б.6. Биосфера</w:t>
      </w:r>
    </w:p>
    <w:p>
      <w:pPr>
        <w:pageBreakBefore w:val="0"/>
        <w:spacing w:after="80" w:line="269" w:lineRule="auto"/>
        <w:ind w:firstLine="397"/>
        <w:jc w:val="both"/>
      </w:pPr>
      <w:r>
        <w:rPr>
          <w:rFonts w:ascii="Times New Roman" w:hAnsi="Times New Roman" w:eastAsia="Times New Roman"/>
          <w:b w:val="0"/>
          <w:i w:val="0"/>
          <w:color w:val="20252B"/>
          <w:sz w:val="20"/>
        </w:rPr>
        <w:t>Балансы кислорода, углекислого газа, воды и калорий построены как стационарные уравнения сохранения массы: приход равен расходу. Нормы потребления на человека приняты по данным физиологии, продуктивность культур — по средним значениям земного интенсивного растениеводства, приведённым в таблице 5.5.</w:t>
      </w:r>
    </w:p>
    <w:p>
      <w:pPr>
        <w:pageBreakBefore w:val="0"/>
        <w:spacing w:after="80" w:line="269" w:lineRule="auto"/>
        <w:ind w:firstLine="397"/>
        <w:jc w:val="both"/>
      </w:pPr>
      <w:r>
        <w:rPr>
          <w:rFonts w:ascii="Times New Roman" w:hAnsi="Times New Roman" w:eastAsia="Times New Roman"/>
          <w:b w:val="0"/>
          <w:i w:val="0"/>
          <w:color w:val="20252B"/>
          <w:sz w:val="20"/>
        </w:rPr>
        <w:t>Границы применимости существенны и оговариваются прямо. Стационарный баланс не учитывает переходных процессов, накопления биогенов в почве и поглощения кислорода конструкциями — именно последний фактор привёл к падению содержания кислорода в эксперименте «Биосфера-2». Поэтому кратность 1,83 по калорийности следует понимать как проектный резерв, а не как доказательство устойчивости системы: устойчивость замкнутой биосферы стационарным расчётом не доказывается в принципе и подлежит проверке моделированием динамики.</w:t>
      </w:r>
    </w:p>
    <w:p>
      <w:pPr>
        <w:pageBreakBefore w:val="0"/>
        <w:spacing w:after="80" w:line="269" w:lineRule="auto"/>
        <w:ind w:firstLine="709"/>
        <w:jc w:val="both"/>
      </w:pPr>
      <w:r>
        <w:rPr>
          <w:rFonts w:ascii="Times New Roman" w:hAnsi="Times New Roman" w:eastAsia="Times New Roman"/>
          <w:b w:val="0"/>
          <w:i w:val="0"/>
          <w:color w:val="20252B"/>
          <w:sz w:val="20"/>
        </w:rPr>
        <w:t>Б.7. Транспорт и заселение</w:t>
      </w:r>
    </w:p>
    <w:p>
      <w:pPr>
        <w:pageBreakBefore w:val="0"/>
        <w:spacing w:after="80" w:line="269" w:lineRule="auto"/>
        <w:ind w:firstLine="397"/>
        <w:jc w:val="both"/>
      </w:pPr>
      <w:r>
        <w:rPr>
          <w:rFonts w:ascii="Times New Roman" w:hAnsi="Times New Roman" w:eastAsia="Times New Roman"/>
          <w:b w:val="0"/>
          <w:i w:val="0"/>
          <w:color w:val="20252B"/>
          <w:sz w:val="20"/>
        </w:rPr>
        <w:t>Время подъёма по наклонной шахте вычислено из длины маршрута и принятой скорости кабины с учётом разгона и торможения. Ускорение Кориолиса a = 2ωv рассчитано для радиального движения и составляет 0,015 g, что ниже порога заметности.</w:t>
      </w:r>
    </w:p>
    <w:p>
      <w:pPr>
        <w:pageBreakBefore w:val="0"/>
        <w:spacing w:after="80" w:line="269" w:lineRule="auto"/>
        <w:ind w:firstLine="397"/>
        <w:jc w:val="both"/>
      </w:pPr>
      <w:r>
        <w:rPr>
          <w:rFonts w:ascii="Times New Roman" w:hAnsi="Times New Roman" w:eastAsia="Times New Roman"/>
          <w:b w:val="0"/>
          <w:i w:val="0"/>
          <w:color w:val="20252B"/>
          <w:sz w:val="20"/>
        </w:rPr>
        <w:t>Пропускная способность составляет 1 350 человек в час на цилиндр и 2 700 человек в час на станцию. При полной работе четырёх коридоров транспорт пропускает 500 000 человек примерно за 7,7 суток, но плановый срок заселения полного населения станции определяется карантинным потоком 100 000 человек в год и составляет десять лет.</w:t>
      </w:r>
    </w:p>
    <w:p>
      <w:pPr>
        <w:pageBreakBefore w:val="0"/>
        <w:spacing w:after="80" w:line="269" w:lineRule="auto"/>
        <w:ind w:firstLine="709"/>
        <w:jc w:val="both"/>
      </w:pPr>
      <w:r>
        <w:rPr>
          <w:rFonts w:ascii="Times New Roman" w:hAnsi="Times New Roman" w:eastAsia="Times New Roman"/>
          <w:b w:val="0"/>
          <w:i w:val="0"/>
          <w:color w:val="20252B"/>
          <w:sz w:val="20"/>
        </w:rPr>
        <w:t>Б.8. Изготовление оболочки</w:t>
      </w:r>
    </w:p>
    <w:p>
      <w:pPr>
        <w:pageBreakBefore w:val="0"/>
        <w:spacing w:after="80" w:line="269" w:lineRule="auto"/>
        <w:ind w:firstLine="397"/>
        <w:jc w:val="both"/>
      </w:pPr>
      <w:r>
        <w:rPr>
          <w:rFonts w:ascii="Times New Roman" w:hAnsi="Times New Roman" w:eastAsia="Times New Roman"/>
          <w:b w:val="0"/>
          <w:i w:val="0"/>
          <w:color w:val="20252B"/>
          <w:sz w:val="20"/>
        </w:rPr>
        <w:t>Время кристаллизации панели оценено по правилу Хворинова τ = k·(V/A)², калиброванному по единственной доступной натурной точке — отливке Siempelkamp массой 270 т, охлаждавшейся четыре недели. Перенос земной калибровки на вакуумные условия является допущением: на Земле теплота отводится в форму теплопроводностью, в вакууме — излучением. Оценка 4 суток на панель имеет характер порядка величины, а не расчётного срока.</w:t>
      </w:r>
    </w:p>
    <w:p>
      <w:pPr>
        <w:pageBreakBefore w:val="0"/>
        <w:spacing w:after="80" w:line="269" w:lineRule="auto"/>
        <w:ind w:firstLine="397"/>
        <w:jc w:val="both"/>
      </w:pPr>
      <w:r>
        <w:rPr>
          <w:rFonts w:ascii="Times New Roman" w:hAnsi="Times New Roman" w:eastAsia="Times New Roman"/>
          <w:b w:val="0"/>
          <w:i w:val="0"/>
          <w:color w:val="20252B"/>
          <w:sz w:val="20"/>
        </w:rPr>
        <w:t>Термические напряжения при неравномерном остывании вычислены по формуле σ = EαΔT/(1−ν) для стеснённой деформации. Перепад 100 K по сечению даёт 326 МПа при пределе текучести горячей стали около 200 МПа, откуда следует требование управляемого охлаждения. Расчёт консервативен: он предполагает полное стеснение, тогда как реальная панель частично свободна.</w:t>
      </w:r>
    </w:p>
    <w:p>
      <w:pPr>
        <w:pageBreakBefore w:val="0"/>
        <w:spacing w:after="80" w:line="269" w:lineRule="auto"/>
        <w:ind w:firstLine="397"/>
        <w:jc w:val="both"/>
      </w:pPr>
      <w:r>
        <w:rPr>
          <w:rFonts w:ascii="Times New Roman" w:hAnsi="Times New Roman" w:eastAsia="Times New Roman"/>
          <w:b w:val="0"/>
          <w:i w:val="0"/>
          <w:color w:val="20252B"/>
          <w:sz w:val="20"/>
        </w:rPr>
        <w:t>Все выводы главы 10 отнесены к расчётным гипотезам. Натурного опыта литья стали в невесомости в требуемых масштабах не существует; экстраполяция выполнена от земной металлургии со снятым ограничением по силе тяжести и подлежит экспериментальной проверке до принятия конструкторских решений.</w:t>
      </w:r>
    </w:p>
    <w:p>
      <w:pPr>
        <w:pageBreakBefore w:val="0"/>
        <w:spacing w:after="80" w:line="269" w:lineRule="auto"/>
        <w:ind w:firstLine="709"/>
        <w:jc w:val="both"/>
      </w:pPr>
      <w:r>
        <w:rPr>
          <w:rFonts w:ascii="Times New Roman" w:hAnsi="Times New Roman" w:eastAsia="Times New Roman"/>
          <w:b w:val="0"/>
          <w:i w:val="0"/>
          <w:color w:val="20252B"/>
          <w:sz w:val="20"/>
        </w:rPr>
        <w:t>Б.9. Сводка достоверности</w:t>
      </w:r>
    </w:p>
    <w:p>
      <w:pPr>
        <w:pageBreakBefore w:val="0"/>
        <w:spacing w:after="80" w:line="269" w:lineRule="auto"/>
        <w:ind w:firstLine="397"/>
        <w:jc w:val="both"/>
      </w:pPr>
      <w:r>
        <w:rPr>
          <w:rFonts w:ascii="Times New Roman" w:hAnsi="Times New Roman" w:eastAsia="Times New Roman"/>
          <w:b w:val="0"/>
          <w:i w:val="0"/>
          <w:color w:val="20252B"/>
          <w:sz w:val="20"/>
        </w:rPr>
        <w:t>Расчёты документа разделяются на три группы по степени обоснованности. Первая — выводимые непосредственно из законов механики и термодинамики: кинематика вращения, геометрия, напряжения оболочки, массы, теплоотвод. Эти результаты достоверны в пределах точности исходных величин и проверены независимым пересчётом.</w:t>
      </w:r>
    </w:p>
    <w:p>
      <w:pPr>
        <w:pageBreakBefore w:val="0"/>
        <w:spacing w:after="80" w:line="269" w:lineRule="auto"/>
        <w:ind w:firstLine="397"/>
        <w:jc w:val="both"/>
      </w:pPr>
      <w:r>
        <w:rPr>
          <w:rFonts w:ascii="Times New Roman" w:hAnsi="Times New Roman" w:eastAsia="Times New Roman"/>
          <w:b w:val="0"/>
          <w:i w:val="0"/>
          <w:color w:val="20252B"/>
          <w:sz w:val="20"/>
        </w:rPr>
        <w:t>Вторая группа — опирающиеся на эмпирические данные земного происхождения: нормы физиологии, продуктивность культур, пороги вестибулярной адаптации, сроки инкубации инфекций. Они достоверны настолько, насколько правомерен перенос земных данных в условия станции; каждый такой перенос в тексте оговорён.</w:t>
      </w:r>
    </w:p>
    <w:p>
      <w:pPr>
        <w:pageBreakBefore w:val="0"/>
        <w:spacing w:after="80" w:line="269" w:lineRule="auto"/>
        <w:ind w:firstLine="397"/>
        <w:jc w:val="both"/>
      </w:pPr>
      <w:r>
        <w:rPr>
          <w:rFonts w:ascii="Times New Roman" w:hAnsi="Times New Roman" w:eastAsia="Times New Roman"/>
          <w:b w:val="0"/>
          <w:i w:val="0"/>
          <w:color w:val="20252B"/>
          <w:sz w:val="20"/>
        </w:rPr>
        <w:t>Третья группа — экстраполяции за пределы существующего опыта: литьё в невесомости, добыча летучих в промышленных масштабах, устойчивость замкнутой биосферы на горизонте столетий. Эти положения имеют характер обоснованных гипотез и обозначены как таковые. Смешение трёх групп в изложении не допускается: именно оно порождает ложную уверенность в проектах подобного масштаба.</w:t>
      </w:r>
    </w:p>
    <w:p>
      <w:pPr>
        <w:pageBreakBefore w:val="0"/>
        <w:spacing w:after="80" w:line="269" w:lineRule="auto"/>
        <w:ind w:firstLine="709"/>
        <w:jc w:val="both"/>
      </w:pPr>
      <w:r>
        <w:rPr>
          <w:rFonts w:ascii="Times New Roman" w:hAnsi="Times New Roman" w:eastAsia="Times New Roman"/>
          <w:b w:val="0"/>
          <w:i w:val="0"/>
          <w:color w:val="20252B"/>
          <w:sz w:val="20"/>
        </w:rPr>
        <w:t>Б.10. Расчётная численность населения</w:t>
      </w:r>
    </w:p>
    <w:p>
      <w:pPr>
        <w:pageBreakBefore w:val="0"/>
        <w:spacing w:after="80" w:line="269" w:lineRule="auto"/>
        <w:ind w:firstLine="397"/>
        <w:jc w:val="both"/>
      </w:pPr>
      <w:r>
        <w:rPr>
          <w:rFonts w:ascii="Times New Roman" w:hAnsi="Times New Roman" w:eastAsia="Times New Roman"/>
          <w:b w:val="0"/>
          <w:i w:val="0"/>
          <w:color w:val="20252B"/>
          <w:sz w:val="20"/>
        </w:rPr>
        <w:t>Расчётная численность станции принята равной 1 000 000 человек, по 500 000 на цилиндр. Пропорциональные нормы газообмена, воды и бытовой энергии заданы для миллиона жителей; площади, массы оболочки и общестанционные потребители от численности не зависят.</w:t>
      </w:r>
    </w:p>
    <w:p>
      <w:pPr>
        <w:pageBreakBefore w:val="0"/>
        <w:spacing w:after="80" w:line="269" w:lineRule="auto"/>
        <w:ind w:firstLine="709"/>
        <w:jc w:val="both"/>
      </w:pPr>
      <w:r>
        <w:rPr>
          <w:rFonts w:ascii="Times New Roman" w:hAnsi="Times New Roman" w:eastAsia="Times New Roman"/>
          <w:b w:val="0"/>
          <w:i w:val="0"/>
          <w:color w:val="20252B"/>
          <w:sz w:val="20"/>
        </w:rPr>
        <w:t>Б.11. Глубина водоёмов и толщина грунта</w:t>
      </w:r>
    </w:p>
    <w:p>
      <w:pPr>
        <w:pageBreakBefore w:val="0"/>
        <w:spacing w:after="80" w:line="269" w:lineRule="auto"/>
        <w:ind w:firstLine="397"/>
        <w:jc w:val="both"/>
      </w:pPr>
      <w:r>
        <w:rPr>
          <w:rFonts w:ascii="Times New Roman" w:hAnsi="Times New Roman" w:eastAsia="Times New Roman"/>
          <w:b w:val="0"/>
          <w:i w:val="0"/>
          <w:color w:val="20252B"/>
          <w:sz w:val="20"/>
        </w:rPr>
        <w:t>Средняя глубина открытых водоёмов принята 1,2 м при среднем слое грунта 1,5 м. Такое размещение не нарушает силовой пояс и соответствует водному балансу станции.</w:t>
      </w:r>
    </w:p>
    <w:p>
      <w:pPr>
        <w:pageBreakBefore w:val="0"/>
        <w:spacing w:after="80" w:line="269" w:lineRule="auto"/>
        <w:ind w:firstLine="397"/>
        <w:jc w:val="both"/>
      </w:pPr>
      <w:r>
        <w:rPr>
          <w:rFonts w:ascii="Times New Roman" w:hAnsi="Times New Roman" w:eastAsia="Times New Roman"/>
          <w:b w:val="0"/>
          <w:i w:val="0"/>
          <w:color w:val="20252B"/>
          <w:sz w:val="20"/>
        </w:rPr>
        <w:t>Геометрия. Открытые водоёмы глубиной 1,2 м размещаются в почвенном слое; заглубление в силовой пояс не допускается. Рыбные бассейны глубиной до 3 м выполняются насыпным способом.</w:t>
      </w:r>
    </w:p>
    <w:p>
      <w:pPr>
        <w:pageBreakBefore w:val="0"/>
        <w:spacing w:after="80" w:line="269" w:lineRule="auto"/>
        <w:ind w:firstLine="397"/>
        <w:jc w:val="both"/>
      </w:pPr>
      <w:r>
        <w:rPr>
          <w:rFonts w:ascii="Times New Roman" w:hAnsi="Times New Roman" w:eastAsia="Times New Roman"/>
          <w:b w:val="0"/>
          <w:i w:val="0"/>
          <w:color w:val="20252B"/>
          <w:sz w:val="20"/>
        </w:rPr>
        <w:t>Масса. Водный баланс рассчитывается по открытым водоёмам, рыбным бассейнам, почвенной влаге, атмосферной влаге, оборотным контурам и воде биомассы. Таблица водного баланса даёт 0,586 млрд т на цилиндр и 1,171 млрд т на станцию.</w:t>
      </w:r>
    </w:p>
    <w:p>
      <w:pPr>
        <w:pageBreakBefore w:val="0"/>
        <w:spacing w:after="80" w:line="269" w:lineRule="auto"/>
        <w:ind w:firstLine="397"/>
        <w:jc w:val="both"/>
      </w:pPr>
      <w:r>
        <w:rPr>
          <w:rFonts w:ascii="Times New Roman" w:hAnsi="Times New Roman" w:eastAsia="Times New Roman"/>
          <w:b w:val="0"/>
          <w:i w:val="0"/>
          <w:color w:val="20252B"/>
          <w:sz w:val="20"/>
        </w:rPr>
        <w:t>Принятое решение. Средняя глубина открытых водоёмов — 1,2 м; рыбные бассейны выполняются насыпью. Конструкция сохраняет герметичность и обеспечивает требуемые водные биоценозы.</w:t>
      </w:r>
    </w:p>
    <w:p>
      <w:pPr>
        <w:pageBreakBefore w:val="0"/>
        <w:spacing w:after="80" w:line="269" w:lineRule="auto"/>
        <w:ind w:firstLine="397"/>
        <w:jc w:val="both"/>
      </w:pPr>
      <w:r>
        <w:rPr>
          <w:rFonts w:ascii="Times New Roman" w:hAnsi="Times New Roman" w:eastAsia="Times New Roman"/>
          <w:b w:val="0"/>
          <w:i w:val="0"/>
          <w:color w:val="20252B"/>
          <w:sz w:val="20"/>
        </w:rPr>
        <w:t>Для рыбных бассейнов, где глубина 1,2 м недостаточна, принимается иное решение: они выполняются не выемкой, а насыпным способом — ложе образуется подъёмом обвалования по периметру, при этом дно остаётся выше уровня гермооболочки. Глубина таких бассейнов до 3 м достигается насыпью высотой 1,8 м; расход грунта на обвалование при площади бассейнов 15 км² составляет порядка 0,05 млрд т и учитывается в массовом балансе.</w:t>
      </w:r>
    </w:p>
    <w:p>
      <w:pPr>
        <w:pageBreakBefore w:val="0"/>
        <w:spacing w:after="80" w:line="269" w:lineRule="auto"/>
        <w:ind w:firstLine="397"/>
        <w:jc w:val="both"/>
      </w:pPr>
      <w:r>
        <w:rPr>
          <w:rFonts w:ascii="Times New Roman" w:hAnsi="Times New Roman" w:eastAsia="Times New Roman"/>
          <w:b w:val="0"/>
          <w:i w:val="0"/>
          <w:color w:val="20252B"/>
          <w:sz w:val="20"/>
        </w:rPr>
        <w:t>Общее правило, вытекающее из разбора: в конструкции с несущей оболочкой заглубление любого сооружения ограничено толщиной грунта, и всякий объект, требующий большей глубины, должен создаваться подъёмом окружающего рельефа, а не выемкой. Это положение подлежит распространению на фундаменты зданий, подземные коммуникации и погреба.</w:t>
      </w:r>
    </w:p>
    <w:p>
      <w:pPr>
        <w:pageBreakBefore w:val="0"/>
        <w:spacing w:after="80" w:line="269" w:lineRule="auto"/>
        <w:ind w:firstLine="709"/>
        <w:jc w:val="both"/>
      </w:pPr>
      <w:r>
        <w:rPr>
          <w:rFonts w:ascii="Times New Roman" w:hAnsi="Times New Roman" w:eastAsia="Times New Roman"/>
          <w:b w:val="0"/>
          <w:i w:val="0"/>
          <w:color w:val="20252B"/>
          <w:sz w:val="20"/>
        </w:rPr>
        <w:t>Б.12. Назначение арктической зоны и размещение теплиц</w:t>
      </w:r>
    </w:p>
    <w:p>
      <w:pPr>
        <w:pageBreakBefore w:val="0"/>
        <w:spacing w:after="80" w:line="269" w:lineRule="auto"/>
        <w:ind w:firstLine="397"/>
        <w:jc w:val="both"/>
      </w:pPr>
      <w:r>
        <w:rPr>
          <w:rFonts w:ascii="Times New Roman" w:hAnsi="Times New Roman" w:eastAsia="Times New Roman"/>
          <w:b w:val="0"/>
          <w:i w:val="0"/>
          <w:color w:val="20252B"/>
          <w:sz w:val="20"/>
        </w:rPr>
        <w:t>Теплолюбивые культуры, овощи, зелень и лекарственные травы размещаются в тропической и субтропической зонах, где осевые светотепловые балки дают достаточный световой поток, а климатическая система поддерживает требуемое тепло. В холодной зоне остаются морозостойкие культуры; отапливаемые теплицы и гидропонные установки там не предусматриваются.</w:t>
      </w:r>
    </w:p>
    <w:p>
      <w:pPr>
        <w:pageBreakBefore w:val="0"/>
        <w:spacing w:after="80" w:line="269" w:lineRule="auto"/>
        <w:ind w:firstLine="397"/>
        <w:jc w:val="both"/>
      </w:pPr>
      <w:r>
        <w:rPr>
          <w:rFonts w:ascii="Times New Roman" w:hAnsi="Times New Roman" w:eastAsia="Times New Roman"/>
          <w:b w:val="0"/>
          <w:i w:val="0"/>
          <w:color w:val="20252B"/>
          <w:sz w:val="20"/>
        </w:rPr>
        <w:t>Размещение теплолюбивых культур в холодной зоне потребовало бы дополнительного освещения и отопления. Свободный резерв тёплых зон составляет 536 км², поэтому теплицы переносятся в тёплые зоны без дефицита площади.</w:t>
      </w:r>
    </w:p>
    <w:p>
      <w:pPr>
        <w:pageBreakBefore w:val="0"/>
        <w:spacing w:after="80" w:line="269" w:lineRule="auto"/>
        <w:ind w:firstLine="397"/>
        <w:jc w:val="both"/>
      </w:pPr>
      <w:r>
        <w:rPr>
          <w:rFonts w:ascii="Times New Roman" w:hAnsi="Times New Roman" w:eastAsia="Times New Roman"/>
          <w:b w:val="0"/>
          <w:i w:val="0"/>
          <w:color w:val="20252B"/>
          <w:sz w:val="20"/>
        </w:rPr>
        <w:t>При этом свободный резерв сельскохозяйственных площадей в тёплых зонах составляет 536 км² (таблица 5.6). Дефицита тёплой земли нет, и размещение теплолюбивых культур в арктике не вызвано необходимостью.</w:t>
      </w:r>
    </w:p>
    <w:p>
      <w:pPr>
        <w:pageBreakBefore w:val="0"/>
        <w:spacing w:after="80" w:line="269" w:lineRule="auto"/>
        <w:ind w:firstLine="397"/>
        <w:jc w:val="both"/>
      </w:pPr>
      <w:r>
        <w:rPr>
          <w:rFonts w:ascii="Times New Roman" w:hAnsi="Times New Roman" w:eastAsia="Times New Roman"/>
          <w:b w:val="0"/>
          <w:i w:val="0"/>
          <w:color w:val="20252B"/>
          <w:sz w:val="20"/>
        </w:rPr>
        <w:t>Теплолюбивые овощи, зелень и грибы размещаются в тропической и субтропической зонах. Открытый грунт холодной зоны отводится под морозостойкие многолетние культуры; сохраняются функции холодного хранения, приёма избыточного тепла и низкотемпературных производств.</w:t>
      </w:r>
    </w:p>
    <w:p>
      <w:pPr>
        <w:pageBreakBefore w:val="0"/>
        <w:spacing w:after="80" w:line="269" w:lineRule="auto"/>
        <w:ind w:firstLine="397"/>
        <w:jc w:val="both"/>
      </w:pPr>
      <w:r>
        <w:rPr>
          <w:rFonts w:ascii="Times New Roman" w:hAnsi="Times New Roman" w:eastAsia="Times New Roman"/>
          <w:b w:val="0"/>
          <w:i w:val="0"/>
          <w:color w:val="20252B"/>
          <w:sz w:val="20"/>
        </w:rPr>
        <w:t>Собственное назначение арктической зоны, ради которого она сохраняется, состоит в другом и заключается в четырёх функциях. Первая — холодовое хранение: естественные камеры при −5…−15 °C обеспечивают заморозку продукции без затрат энергии (п. 5.4). Вторая — приёмник избыточного тепла тропической зоны, что снижает нагрузку на радиаторы (п. 4.4). Третья — обеспечение сезонности и разнообразия среды обитания, необходимых по условиям психологии замкнутого пространства. Четвёртая — размещение производств, требующих низких температур, и складов длительного хранения.</w:t>
      </w:r>
    </w:p>
    <w:p>
      <w:pPr>
        <w:pageBreakBefore w:val="0"/>
        <w:spacing w:after="80" w:line="269" w:lineRule="auto"/>
        <w:ind w:firstLine="397"/>
        <w:jc w:val="both"/>
      </w:pPr>
      <w:r>
        <w:rPr>
          <w:rFonts w:ascii="Times New Roman" w:hAnsi="Times New Roman" w:eastAsia="Times New Roman"/>
          <w:b w:val="0"/>
          <w:i w:val="0"/>
          <w:color w:val="20252B"/>
          <w:sz w:val="20"/>
        </w:rPr>
        <w:t>Назначение каждой зоны определяется её естественными условиями, а не стремлением разместить в ней полный набор производств.</w:t>
      </w:r>
    </w:p>
    <w:p>
      <w:pPr>
        <w:pageBreakBefore w:val="0"/>
        <w:spacing w:after="80" w:line="269" w:lineRule="auto"/>
        <w:ind w:firstLine="709"/>
        <w:jc w:val="both"/>
      </w:pPr>
      <w:r>
        <w:rPr>
          <w:rFonts w:ascii="Times New Roman" w:hAnsi="Times New Roman" w:eastAsia="Times New Roman"/>
          <w:b w:val="0"/>
          <w:i w:val="0"/>
          <w:color w:val="20252B"/>
          <w:sz w:val="20"/>
        </w:rPr>
        <w:t>Б.13. Водный баланс станции</w:t>
      </w:r>
    </w:p>
    <w:p>
      <w:pPr>
        <w:pageBreakBefore w:val="0"/>
        <w:spacing w:after="80" w:line="269" w:lineRule="auto"/>
        <w:ind w:firstLine="397"/>
        <w:jc w:val="both"/>
      </w:pPr>
      <w:r>
        <w:rPr>
          <w:rFonts w:ascii="Times New Roman" w:hAnsi="Times New Roman" w:eastAsia="Times New Roman"/>
          <w:b w:val="0"/>
          <w:i w:val="0"/>
          <w:color w:val="20252B"/>
          <w:sz w:val="20"/>
        </w:rPr>
        <w:t>Теплицы и гидропонные установки в холодной зоне не размещаются; культуры переносятся в тёплые зоны. В холодной зоне остаются морозостойкие многолетники, водоросли, рыба холодных бассейнов и низкотемпературные производства.</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Что переносится</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Площадь</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Куда</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Основание</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Овощи, зелень, лекарственные травы</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8,8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Субтропическая зона, 10–22 км</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Свет ОСБ 170 Вт/м², +15…+28 °C</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Грибы (тёмные помещения)</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6,0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Умеренная зона, 22–32 км</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Света не требуют, 0…+15 °C достаточно</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ИТОГО выведено из холодной зоны</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14,8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r>
    </w:tbl>
    <w:p>
      <w:pPr>
        <w:pageBreakBefore w:val="0"/>
        <w:spacing w:after="80" w:line="269" w:lineRule="auto"/>
        <w:ind w:firstLine="397"/>
        <w:jc w:val="both"/>
      </w:pPr>
      <w:r>
        <w:rPr>
          <w:rFonts w:ascii="Times New Roman" w:hAnsi="Times New Roman" w:eastAsia="Times New Roman"/>
          <w:b w:val="0"/>
          <w:i w:val="0"/>
          <w:color w:val="20252B"/>
          <w:sz w:val="20"/>
        </w:rPr>
        <w:t>Перенос культур в тёплые зоны снижает нагрузку на станцию на 4,15 ГВт, или 0,58 % полной электрической мощности 721,4 ГВт.</w:t>
      </w:r>
    </w:p>
    <w:p>
      <w:pPr>
        <w:pageBreakBefore w:val="0"/>
        <w:spacing w:after="80" w:line="269" w:lineRule="auto"/>
        <w:ind w:firstLine="397"/>
        <w:jc w:val="both"/>
      </w:pPr>
      <w:r>
        <w:rPr>
          <w:rFonts w:ascii="Times New Roman" w:hAnsi="Times New Roman" w:eastAsia="Times New Roman"/>
          <w:b w:val="0"/>
          <w:i w:val="0"/>
          <w:color w:val="20252B"/>
          <w:sz w:val="20"/>
        </w:rPr>
        <w:t>Размещение обеспечено площадью: 29,6 км² на две станции составляют 5,5 % свободного резерва тёплых зон, равного 536 км². Продовольственный баланс главы 5 не меняется — переносятся те же культуры на тех же площадях, меняется лишь зона размещения.</w:t>
      </w:r>
    </w:p>
    <w:p>
      <w:pPr>
        <w:pageBreakBefore w:val="0"/>
        <w:spacing w:after="80" w:line="269" w:lineRule="auto"/>
        <w:ind w:firstLine="397"/>
        <w:jc w:val="both"/>
      </w:pPr>
      <w:r>
        <w:rPr>
          <w:rFonts w:ascii="Times New Roman" w:hAnsi="Times New Roman" w:eastAsia="Times New Roman"/>
          <w:b w:val="0"/>
          <w:i w:val="0"/>
          <w:color w:val="20252B"/>
          <w:sz w:val="20"/>
        </w:rPr>
        <w:t>В холодной зоне остаются исключительно морозостойкие многолетники открытого грунта — ягель, брусника, голубика, морошка, клюква, шикша, мхи, — а также водоросли и рыба холодных бассейнов и животные в утеплённых помещениях. Четыре собственные функции зоны, перечисленные выше, сохраняются полностью: холодовое хранение, приём избыточного тепла тропиков, сезонность среды и низкотемпературные производства.</w:t>
      </w:r>
    </w:p>
    <w:p>
      <w:pPr>
        <w:pageBreakBefore w:val="0"/>
        <w:spacing w:after="80" w:line="269" w:lineRule="auto"/>
        <w:ind w:firstLine="397"/>
        <w:jc w:val="both"/>
      </w:pPr>
      <w:r>
        <w:rPr>
          <w:rFonts w:ascii="Times New Roman" w:hAnsi="Times New Roman" w:eastAsia="Times New Roman"/>
          <w:b w:val="0"/>
          <w:i w:val="0"/>
          <w:color w:val="20252B"/>
          <w:sz w:val="20"/>
        </w:rPr>
        <w:t>Водный баланс станции составляет 1,171 млрд т; его структура приведена в таблице водного баланса. Открытая вода является только частью общего запаса, основная доля связана в почве и оборотных контурах.</w:t>
      </w:r>
    </w:p>
    <w:p>
      <w:pPr>
        <w:pageBreakBefore w:val="0"/>
        <w:spacing w:after="80" w:line="269" w:lineRule="auto"/>
        <w:ind w:firstLine="397"/>
        <w:jc w:val="both"/>
      </w:pPr>
      <w:r>
        <w:rPr>
          <w:rFonts w:ascii="Times New Roman" w:hAnsi="Times New Roman" w:eastAsia="Times New Roman"/>
          <w:b w:val="0"/>
          <w:i w:val="0"/>
          <w:color w:val="20252B"/>
          <w:sz w:val="20"/>
        </w:rPr>
        <w:t>Для одного цилиндра масса воды составляет 0,586 млрд т, для станции — 1,171 млрд т. Эти значения используются в массовом балансе, сроке оборота и расчёте потерь при регенерации.</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Составляющая водного баланса</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Расчёт</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Объём, км³</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Доля</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Открытые водоёмы</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135 км² × 1,2 м</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0,162</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28 %</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Рыбные бассейны (насыпные)</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15 км² × 3,0 м</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0,045</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8 %</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Почвенная влага под посевами</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403,5 км² × 1,5 м × 25 % об.</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0,151</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26 %</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Почвенная влага лугов и резерва</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343 км² × 1,5 м × 18 % об.</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0,093</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16 %</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Почвенная влага прочих земель</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653,6 км² × 1,5 м × 8 % об.</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0,078</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13 %</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Атмосферная влага</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3 612,8 км³ × 12 г/м³ × 0,65</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0,028</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5 %</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Оборотная техническая и бытовая</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трубопроводы, баки, очистка</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0,020</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3 %</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Вода биомассы</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растения, животные, люди</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0,008</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ИТОГО на цилиндр</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0,586</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100 %</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ИТОГО на станцию</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два цилиндра</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1,171</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w:t>
            </w:r>
          </w:p>
        </w:tc>
      </w:tr>
    </w:tbl>
    <w:p>
      <w:pPr>
        <w:pageBreakBefore w:val="0"/>
        <w:spacing w:after="80" w:line="269" w:lineRule="auto"/>
        <w:ind w:firstLine="397"/>
        <w:jc w:val="both"/>
      </w:pPr>
      <w:r>
        <w:rPr>
          <w:rFonts w:ascii="Times New Roman" w:hAnsi="Times New Roman" w:eastAsia="Times New Roman"/>
          <w:b w:val="0"/>
          <w:i w:val="0"/>
          <w:color w:val="20252B"/>
          <w:sz w:val="20"/>
        </w:rPr>
        <w:t>Итог водного баланса — 1,171 млрд т на станцию; округлённое значение в сводных таблицах — 1,17 млрд т.</w:t>
      </w:r>
    </w:p>
    <w:p>
      <w:pPr>
        <w:pageBreakBefore w:val="0"/>
        <w:spacing w:after="80" w:line="269" w:lineRule="auto"/>
        <w:ind w:firstLine="397"/>
        <w:jc w:val="both"/>
      </w:pPr>
      <w:r>
        <w:rPr>
          <w:rFonts w:ascii="Times New Roman" w:hAnsi="Times New Roman" w:eastAsia="Times New Roman"/>
          <w:b w:val="0"/>
          <w:i w:val="0"/>
          <w:color w:val="20252B"/>
          <w:sz w:val="20"/>
        </w:rPr>
        <w:t>Для прочности принимается усреднённая нагрузка от водных масс 377,7 кг/м², или около 3,7 кПа; эта величина входит в проектную нагрузку оболочки.</w:t>
      </w:r>
    </w:p>
    <w:p>
      <w:pPr>
        <w:pageBreakBefore w:val="0"/>
        <w:spacing w:after="80" w:line="269" w:lineRule="auto"/>
        <w:ind w:firstLine="709"/>
        <w:jc w:val="both"/>
      </w:pPr>
      <w:r>
        <w:rPr>
          <w:rFonts w:ascii="Times New Roman" w:hAnsi="Times New Roman" w:eastAsia="Times New Roman"/>
          <w:b w:val="0"/>
          <w:i w:val="0"/>
          <w:color w:val="20252B"/>
          <w:sz w:val="20"/>
        </w:rPr>
        <w:t>Б.14. Шпангоуты: шаг, сечение и масса</w:t>
      </w:r>
    </w:p>
    <w:p>
      <w:pPr>
        <w:pageBreakBefore w:val="0"/>
        <w:spacing w:after="80" w:line="269" w:lineRule="auto"/>
        <w:ind w:firstLine="397"/>
        <w:jc w:val="both"/>
      </w:pPr>
      <w:r>
        <w:rPr>
          <w:rFonts w:ascii="Times New Roman" w:hAnsi="Times New Roman" w:eastAsia="Times New Roman"/>
          <w:b w:val="0"/>
          <w:i w:val="0"/>
          <w:color w:val="20252B"/>
          <w:sz w:val="20"/>
        </w:rPr>
        <w:t>Сечение подбирается по определяющей монтажной нагрузке. В невесомости собственный вес отсутствует, и кольцо нагружается реакцией буксиров при позиционировании панели массой 33 575 т. При ускорении наведения 0,01 м/с² сила составляет 0,34 МН, а изгибающий момент в кольце, нагруженном сосредоточенной силой, равен приблизительно 0,318·F·R = 0,53 ГН·м. При допускаемом напряжении 889 МПа (предел текучести 1 333 МПа с запасом 1,5) потребный момент сопротивления составляет 0,60 м³.</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Сечение шпангоута</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W, м³</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σ при монтаже, МПа</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Пригодность</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3 000 × 1 500 мм, стенка 30 мм</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0,22</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2 460</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Не годен</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5 000 × 2 500 мм, стенка 40 мм</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0,81</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659</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Принято</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10 000 × 5 000 мм, стенка 50 мм</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4,09</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130</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Избыточно</w:t>
            </w:r>
          </w:p>
        </w:tc>
      </w:tr>
    </w:tbl>
    <w:p>
      <w:pPr>
        <w:pageBreakBefore w:val="0"/>
        <w:spacing w:after="80" w:line="269" w:lineRule="auto"/>
        <w:ind w:firstLine="397"/>
        <w:jc w:val="both"/>
      </w:pPr>
      <w:r>
        <w:rPr>
          <w:rFonts w:ascii="Times New Roman" w:hAnsi="Times New Roman" w:eastAsia="Times New Roman"/>
          <w:b w:val="0"/>
          <w:i w:val="0"/>
          <w:color w:val="20252B"/>
          <w:sz w:val="20"/>
        </w:rPr>
        <w:t>Принимается шпангоут коробчатого сечения 5 000 × 2 500 мм со стенкой 40 мм: площадь сечения 0,594 м², момент инерции 2,02 м⁴, момент сопротивления 0,81 м³, масса кольца 146 391 т. Шаг назначается равным 100 м — по стыку панелей, поскольку панель имеет размер 50 × 100 м и ставится длинной стороной вдоль оси. Шпангоут при этом служит базой сварки для каждого поперечного стыка.</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Элемент силового набора</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Сечение</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Количество</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Масса, млн т</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Доля пакета</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Шпангоуты, шаг 100 м</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5 000 × 2 500 × 40 мм</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400 колец</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58,6</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0,41 %</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Стрингеры, шаг 50 м по окружности</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1 000 × 500 × 20 мм</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628 шт. по 40 км</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11,5</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0,08 %</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ИТОГО набор на цилиндр</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70,1</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0,50 %</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ИТОГО набор на станцию</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140,1</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w:t>
            </w:r>
          </w:p>
        </w:tc>
      </w:tr>
    </w:tbl>
    <w:p>
      <w:pPr>
        <w:pageBreakBefore w:val="0"/>
        <w:spacing w:after="80" w:line="269" w:lineRule="auto"/>
        <w:ind w:firstLine="397"/>
        <w:jc w:val="both"/>
      </w:pPr>
      <w:r>
        <w:rPr>
          <w:rFonts w:ascii="Times New Roman" w:hAnsi="Times New Roman" w:eastAsia="Times New Roman"/>
          <w:b w:val="0"/>
          <w:i w:val="0"/>
          <w:color w:val="20252B"/>
          <w:sz w:val="20"/>
        </w:rPr>
        <w:t>Силовой набор составляет 0,50 % массы пакета обшивки и 0,29 % массы станции — величина, полностью приемлемая. Отдельно учитывается окантовка вырезов: устье шахты диаметром 30 м прерывает погонное усилие пояса 1 096 МН/м, и обход выреза требует окантовки суммарной площадью 37 м², то есть 27 386 т на вырез. При двух устьях шахт, 4 причальных и 8 стыковых вырезах это 0,38 млн т, или 0,003 % массы пакета (п. Б.17).</w:t>
      </w:r>
    </w:p>
    <w:p>
      <w:pPr>
        <w:pageBreakBefore w:val="0"/>
        <w:spacing w:after="80" w:line="269" w:lineRule="auto"/>
        <w:ind w:firstLine="397"/>
        <w:jc w:val="both"/>
      </w:pPr>
      <w:r>
        <w:rPr>
          <w:rFonts w:ascii="Times New Roman" w:hAnsi="Times New Roman" w:eastAsia="Times New Roman"/>
          <w:b w:val="0"/>
          <w:i w:val="0"/>
          <w:color w:val="20252B"/>
          <w:sz w:val="20"/>
        </w:rPr>
        <w:t>В эксплуатации форму цилиндра удерживает центробежное натяжение, а шпангоуты нужны на монтаже и для местной устойчивости у вырезов. Принятое сечение 5 000 × 2 500 мм со стенкой 40 мм даёт 146 391 т на кольцо; при шаге 100 м силовой набор составляет 70,1 млн т на цилиндр.</w:t>
      </w:r>
    </w:p>
    <w:p>
      <w:pPr>
        <w:pageBreakBefore w:val="0"/>
        <w:spacing w:after="80" w:line="269" w:lineRule="auto"/>
        <w:ind w:firstLine="709"/>
        <w:jc w:val="both"/>
      </w:pPr>
      <w:r>
        <w:rPr>
          <w:rFonts w:ascii="Times New Roman" w:hAnsi="Times New Roman" w:eastAsia="Times New Roman"/>
          <w:b w:val="0"/>
          <w:i w:val="0"/>
          <w:color w:val="20252B"/>
          <w:sz w:val="20"/>
        </w:rPr>
        <w:t>Б.15. Сводные балансы при населении 1 000 000 человек</w:t>
      </w:r>
    </w:p>
    <w:p>
      <w:pPr>
        <w:pageBreakBefore w:val="0"/>
        <w:spacing w:after="80" w:line="269" w:lineRule="auto"/>
        <w:ind w:firstLine="397"/>
        <w:jc w:val="both"/>
      </w:pPr>
      <w:r>
        <w:rPr>
          <w:rFonts w:ascii="Times New Roman" w:hAnsi="Times New Roman" w:eastAsia="Times New Roman"/>
          <w:b w:val="0"/>
          <w:i w:val="0"/>
          <w:color w:val="20252B"/>
          <w:sz w:val="20"/>
        </w:rPr>
        <w:t>При населении 1 000 000 человек потребление кислорода дыханием составляет 306 600 т/год, выделение углекислого газа — 365 000 т/год, бытовое водопотребление — 73,05 млн м³/год, бытовая электрическая мощность — 6 ГВт.</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Величина</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При 500 тыс.</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При 1 млн</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Характер зависимости</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Потребление кислорода</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153 300 т/год</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306 600 т/год</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Пропорционально</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Выделение углекислого газа</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182 500 т/год</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365 000 т/год</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Пропорционально</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Кратность выработки O₂ посевами</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116</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58</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Обратно пропорционально</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Кратность связывания CO₂</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134</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67</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Обратно пропорционально</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Запас кислорода атмосферы</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11 000 лет</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5 500 лет</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Обратно пропорционально</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Прирост CO₂ при остановке растений</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16,5 ppm/год</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31,9 ppm/год</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Пропорционально</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Срок до порога 1 000 ppm</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35 лет</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18 лет</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Обратно пропорционально</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Бытовое электропотребление</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 ГВт</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 ГВт</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Пропорционально</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Доля быта в энергобалансе</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0,42 %</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0,83 %</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Пропорционально мощности</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Заселение 500 000 чел. по транспорту</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1,9 сут</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15,4 суток на цилиндр; 7,7 суток на станцию</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1 350 чел./ч на цилиндр; 2 700 чел./ч на станцию; без карантина</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Мощность на жителя</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6 000 Вт</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6 000 Вт</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Не зависит</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Потребность в энергии пищи</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1,022 трлн ккал</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1,022 трлн ккал</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Уже для 1 млн</w:t>
            </w:r>
          </w:p>
        </w:tc>
      </w:tr>
    </w:tbl>
    <w:p>
      <w:pPr>
        <w:pageBreakBefore w:val="0"/>
        <w:spacing w:after="80" w:line="269" w:lineRule="auto"/>
        <w:ind w:firstLine="397"/>
        <w:jc w:val="both"/>
      </w:pPr>
      <w:r>
        <w:rPr>
          <w:rFonts w:ascii="Times New Roman" w:hAnsi="Times New Roman" w:eastAsia="Times New Roman"/>
          <w:b w:val="0"/>
          <w:i w:val="0"/>
          <w:color w:val="20252B"/>
          <w:sz w:val="20"/>
        </w:rPr>
        <w:t>При остановке растениеводства порог 1 000 ppm по углекислому газу достигается примерно за 18 лет; углекислый газ задаёт предельный срок аварийного режима, а не кислород.</w:t>
      </w:r>
    </w:p>
    <w:p>
      <w:pPr>
        <w:pageBreakBefore w:val="0"/>
        <w:spacing w:after="80" w:line="269" w:lineRule="auto"/>
        <w:ind w:firstLine="397"/>
        <w:jc w:val="both"/>
      </w:pPr>
      <w:r>
        <w:rPr>
          <w:rFonts w:ascii="Times New Roman" w:hAnsi="Times New Roman" w:eastAsia="Times New Roman"/>
          <w:b w:val="0"/>
          <w:i w:val="0"/>
          <w:color w:val="20252B"/>
          <w:sz w:val="20"/>
        </w:rPr>
        <w:t>Кратность выработки кислорода посевами при населении 1 000 000 человек составляет около 58; растения выращиваются прежде всего ради пищи, а газовый баланс требует динамического контроля.</w:t>
      </w:r>
    </w:p>
    <w:p>
      <w:pPr>
        <w:pageBreakBefore w:val="0"/>
        <w:spacing w:after="80" w:line="269" w:lineRule="auto"/>
        <w:ind w:firstLine="397"/>
        <w:jc w:val="both"/>
      </w:pPr>
      <w:r>
        <w:rPr>
          <w:rFonts w:ascii="Times New Roman" w:hAnsi="Times New Roman" w:eastAsia="Times New Roman"/>
          <w:b w:val="0"/>
          <w:i w:val="0"/>
          <w:color w:val="20252B"/>
          <w:sz w:val="20"/>
        </w:rPr>
        <w:t>Энергобаланс перераспределяется следующим образом: осевые светотепловые балки 503 ГВт (69,73 %), тепловые насосы 96 ГВт (13,31 %), удержание станции в точке L1 63,4 ГВт (8,79 %), подшипниковые узлы, моторы-генераторы и их силовая электроника 2 ГВт (0,28 %), резерв и потери передачи 31 ГВт (4,30 %), жизнеобеспечение 20 ГВт (2,77 %), быт, транспорт и промышленность 6 ГВт (0,83 %). Для магнитных подшипников 2 ГВт — предварительная эксплуатационная квота до отдельного электромагнитного и теплового расчёта; энергия раскрутки и торможения учитывается как отдельный переходный режим. Полная электрическая мощность остаётся 721,4 ГВт.</w:t>
      </w:r>
    </w:p>
    <w:p>
      <w:pPr>
        <w:pageBreakBefore w:val="0"/>
        <w:spacing w:after="80" w:line="269" w:lineRule="auto"/>
        <w:ind w:firstLine="397"/>
        <w:jc w:val="both"/>
      </w:pPr>
      <w:r>
        <w:rPr>
          <w:rFonts w:ascii="Times New Roman" w:hAnsi="Times New Roman" w:eastAsia="Times New Roman"/>
          <w:b w:val="0"/>
          <w:i w:val="0"/>
          <w:color w:val="20252B"/>
          <w:sz w:val="20"/>
        </w:rPr>
        <w:t>Масса атмосферы составляет 3,77 млрд т на цилиндр и 7,55 млрд т на станцию. Сроки истечения через отверстия рассчитываются для этой массы; механическое повреждение пояса остаётся главным аварийным риском.</w:t>
      </w:r>
    </w:p>
    <w:p>
      <w:pPr>
        <w:pageBreakBefore w:val="0"/>
        <w:spacing w:after="80" w:line="269" w:lineRule="auto"/>
        <w:ind w:firstLine="709"/>
        <w:jc w:val="both"/>
      </w:pPr>
      <w:r>
        <w:rPr>
          <w:rFonts w:ascii="Times New Roman" w:hAnsi="Times New Roman" w:eastAsia="Times New Roman"/>
          <w:b w:val="0"/>
          <w:i w:val="0"/>
          <w:color w:val="20252B"/>
          <w:sz w:val="20"/>
        </w:rPr>
        <w:t>Б.16. Массы пакета обшивки: геометрия и послойный расчёт</w:t>
      </w:r>
    </w:p>
    <w:p>
      <w:pPr>
        <w:pageBreakBefore w:val="0"/>
        <w:spacing w:after="80" w:line="269" w:lineRule="auto"/>
        <w:ind w:firstLine="397"/>
      </w:pPr>
      <w:r>
        <w:rPr>
          <w:rFonts w:ascii="Times New Roman" w:hAnsi="Times New Roman" w:eastAsia="Times New Roman"/>
          <w:b w:val="0"/>
          <w:i w:val="0"/>
          <w:color w:val="20252B"/>
          <w:sz w:val="20"/>
        </w:rPr>
        <w:t>Полная внутренняя площадь одного цилиндра составляет 1 550,1 км². Послойный расчёт даёт 13,354 млрд т пакета обшивки и 13,426 млрд т с силовым набором; на два цилиндра — 26,85 млрд т. Эти значения используются в сводном массовом балансе и ресурсной оценке.</w:t>
      </w:r>
    </w:p>
    <w:p>
      <w:pPr>
        <w:pStyle w:val="Heading2"/>
        <w:keepNext/>
        <w:pageBreakBefore w:val="0"/>
        <w:spacing w:after="40"/>
        <w:ind/>
        <w:jc w:val="both"/>
      </w:pPr>
      <w:r>
        <w:rPr>
          <w:rFonts w:ascii="Times New Roman" w:hAnsi="Times New Roman" w:eastAsia="Times New Roman"/>
          <w:b/>
          <w:i w:val="0"/>
          <w:color w:val="2F5D83"/>
          <w:sz w:val="25"/>
        </w:rPr>
        <w:t>Б.17. Число и размещение транспортных шахт</w:t>
      </w:r>
    </w:p>
    <w:p>
      <w:pPr>
        <w:pageBreakBefore w:val="0"/>
        <w:spacing w:after="80" w:line="269" w:lineRule="auto"/>
        <w:ind w:firstLine="397"/>
        <w:jc w:val="both"/>
      </w:pPr>
      <w:r>
        <w:rPr>
          <w:rFonts w:ascii="Times New Roman" w:hAnsi="Times New Roman" w:eastAsia="Times New Roman"/>
          <w:b w:val="0"/>
          <w:i w:val="0"/>
          <w:color w:val="20252B"/>
          <w:sz w:val="20"/>
        </w:rPr>
        <w:t>На каждом цилиндре предусмотрены две транспортные шахты в толще переднего торцевого купола; всего на станции четыре шахты. Они размещены на передних неподвижных рамах и ведут к защищённым осевым коридорам А и Б.</w:t>
      </w:r>
    </w:p>
    <w:p>
      <w:pPr>
        <w:pageBreakBefore w:val="0"/>
        <w:spacing w:after="80" w:line="269" w:lineRule="auto"/>
        <w:ind w:firstLine="397"/>
        <w:jc w:val="both"/>
      </w:pPr>
      <w:r>
        <w:rPr>
          <w:rFonts w:ascii="Times New Roman" w:hAnsi="Times New Roman" w:eastAsia="Times New Roman"/>
          <w:b w:val="0"/>
          <w:i w:val="0"/>
          <w:color w:val="20252B"/>
          <w:sz w:val="20"/>
        </w:rPr>
        <w:t>Основание решения геометрическое и эксплуатационное. Вход на каждый цилиндр единственен: причал вынесен на отдельную неподвижную переднюю раму, за ним расположены карантинный контур, подшипниковый узел и два независимых коридора А и Б. Внутри каждого коридора восходящий и нисходящий каналы разделены физической гермостенкой. Шахта, проложенная в цилиндрической части, начиналась бы в приосевом объёме и требовала бы отдельного пути вдоль оси; принятая схема проводит защищённый осевой участок внутри передней полусферы, после чего разводит два коридора по зеркальным наклонным трассам.</w:t>
      </w:r>
    </w:p>
    <w:p>
      <w:pPr>
        <w:pageBreakBefore w:val="0"/>
        <w:spacing w:after="80" w:line="269" w:lineRule="auto"/>
        <w:ind w:firstLine="397"/>
        <w:jc w:val="both"/>
      </w:pPr>
      <w:r>
        <w:rPr>
          <w:rFonts w:ascii="Times New Roman" w:hAnsi="Times New Roman" w:eastAsia="Times New Roman"/>
          <w:b w:val="0"/>
          <w:i w:val="0"/>
          <w:color w:val="20252B"/>
          <w:sz w:val="20"/>
        </w:rPr>
        <w:t>Длина маршрута разделена на две конструктивные части. Защищённый осевой участок от вращающегося интерфейса до точки разделения r = 150 м имеет около 2 506 м. Логарифмическая спираль от r = 150 м до r = 5 000 м при θ = 10° имеет около 4 923 м; с учётом округления каноническая длина маршрута составляет 7 429 м. Коридоры А и Б являются зеркальными и имеют одинаковую длину. Точная разница в 1–2 м уточняется после задания координат устьев и не влияет на компоновку.</w:t>
      </w:r>
    </w:p>
    <w:p>
      <w:pPr>
        <w:pageBreakBefore w:val="0"/>
        <w:spacing w:after="80" w:line="269" w:lineRule="auto"/>
        <w:ind w:firstLine="397"/>
        <w:jc w:val="both"/>
      </w:pPr>
      <w:r>
        <w:rPr>
          <w:rFonts w:ascii="Times New Roman" w:hAnsi="Times New Roman" w:eastAsia="Times New Roman"/>
          <w:b w:val="0"/>
          <w:i w:val="0"/>
          <w:color w:val="20252B"/>
          <w:sz w:val="20"/>
        </w:rPr>
        <w:t>Время поездки по спиральной части получено интегрированием закона постоянного наклона v(r) =  и составляет около 15,2 минуты; оставшееся время до штатных 17,8 минуты приходится на осевой участок, синхронизацию роторной камеры, разгон, торможение и межсекционные ограничения скорости. Скорость у жилой поверхности — 19,5 м/с, у точки разделения — около 0,59 м/с, после чего кабина плавно переходит в роторную приёмную камеру.</w:t>
      </w:r>
    </w:p>
    <w:p>
      <w:pPr>
        <w:pageBreakBefore w:val="0"/>
        <w:spacing w:after="80" w:line="269" w:lineRule="auto"/>
        <w:ind w:firstLine="397"/>
        <w:jc w:val="both"/>
      </w:pPr>
      <w:r>
        <w:rPr>
          <w:rFonts w:ascii="Times New Roman" w:hAnsi="Times New Roman" w:eastAsia="Times New Roman"/>
          <w:b w:val="0"/>
          <w:i w:val="0"/>
          <w:color w:val="20252B"/>
          <w:sz w:val="20"/>
        </w:rPr>
        <w:t>Пропускная способность. При кабине на 100 человек и двух парах кабин на коридор интервал отправления равен 17,8 минуты, что даёт около 675 человек в час на один коридор и около 1 350 человек в час на один цилиндр. При выводе одного коридора второй сохраняет около 338 человек в час. Полная транспортная система четырёх коридоров станции даёт около 2 700 человек в час; заселение 500 000 человек при полной работе занимает около 7,7 суток, один цилиндр — около 15,4 суток, а один коридор — около 31 суток. Фактический срок всё равно определяется карантином и остаётся около десяти лет.</w:t>
      </w:r>
    </w:p>
    <w:p>
      <w:pPr>
        <w:pageBreakBefore w:val="0"/>
        <w:spacing w:after="80" w:line="269" w:lineRule="auto"/>
        <w:ind w:firstLine="397"/>
        <w:jc w:val="both"/>
      </w:pPr>
      <w:r>
        <w:rPr>
          <w:rFonts w:ascii="Times New Roman" w:hAnsi="Times New Roman" w:eastAsia="Times New Roman"/>
          <w:b w:val="0"/>
          <w:i w:val="0"/>
          <w:color w:val="20252B"/>
          <w:sz w:val="20"/>
        </w:rPr>
        <w:t>Существенно, что это сокращение не является ограничением проекта. Даже консервативная транспортная оценка ниже санитарной пропускной способности не является узким местом при десятилетнем заселении. Карантинный контур и его 40-суточная выдержка определяют реальную скорость приёма людей, а транспорт обеспечивает резерв и возможность ремонта одного коридора без полной потери сообщения.</w:t>
      </w:r>
    </w:p>
    <w:p>
      <w:pPr>
        <w:pageBreakBefore w:val="0"/>
        <w:spacing w:after="80" w:line="269" w:lineRule="auto"/>
        <w:ind w:firstLine="397"/>
        <w:jc w:val="both"/>
      </w:pPr>
      <w:r>
        <w:rPr>
          <w:rFonts w:ascii="Times New Roman" w:hAnsi="Times New Roman" w:eastAsia="Times New Roman"/>
          <w:b w:val="0"/>
          <w:i w:val="0"/>
          <w:color w:val="20252B"/>
          <w:sz w:val="20"/>
        </w:rPr>
        <w:t>Сопутствующий выигрыш по массе. Одно устье шахты диаметром 30 м прерывает погонное усилие пояса и требует окантовки массой 27 386 т. В принятой схеме четыре транспортных устья на станции дают около 0,11 млн т собственно окантовки; с учётом причальных и стыковых вырезов расчётная масса локальной окантовки составляет около 0,44 млн т на станцию. Одновременно уменьшается число мест концентрации напряжений в силовом поясе — сорок крупных вырезов были самостоятельным фактором риска.</w:t>
      </w:r>
    </w:p>
    <w:p>
      <w:pPr>
        <w:pageBreakBefore w:val="0"/>
        <w:spacing w:after="80" w:line="269" w:lineRule="auto"/>
        <w:ind w:firstLine="397"/>
        <w:jc w:val="both"/>
      </w:pPr>
      <w:r>
        <w:rPr>
          <w:rFonts w:ascii="Times New Roman" w:hAnsi="Times New Roman" w:eastAsia="Times New Roman"/>
          <w:b w:val="0"/>
          <w:i w:val="0"/>
          <w:color w:val="20252B"/>
          <w:sz w:val="20"/>
        </w:rPr>
        <w:t>Резервирование. Два коридора каждого цилиндра обеспечивают взаимное резервирование: при выводе одного на обслуживание второй сохраняет около 338 человек в час. В каждом коридоре отдельный механический фуникулёрно-эвакуационный рельс дублирует привод основной кабины; полную независимость от повреждения всей шахты обеспечивают разнесённые коридоры А и Б.</w:t>
      </w:r>
    </w:p>
    <w:p>
      <w:pPr>
        <w:spacing w:before="200"/>
        <w:jc w:val="center"/>
      </w:pPr>
      <w:r>
        <w:rPr>
          <w:b/>
          <w:color w:val="2E5496"/>
          <w:sz w:val="17"/>
        </w:rPr>
        <w:t>ENGLISH EDITION</w:t>
      </w:r>
    </w:p>
    <w:p>
      <w:pPr>
        <w:pStyle w:val="Heading1"/>
        <w:keepNext/>
        <w:pageBreakBefore w:val="0"/>
        <w:spacing w:after="40"/>
        <w:jc w:val="left"/>
      </w:pPr>
      <w:r>
        <w:rPr>
          <w:rFonts w:ascii="Times New Roman" w:hAnsi="Times New Roman" w:eastAsia="Times New Roman"/>
          <w:b w:val="0"/>
          <w:i w:val="0"/>
          <w:color w:val="20252B"/>
          <w:sz w:val="20"/>
        </w:rPr>
        <w:t>APPENDIX B. JUSTIFICATION OF CALCULATIONS</w:t>
      </w:r>
    </w:p>
    <w:p>
      <w:pPr>
        <w:pageBreakBefore w:val="0"/>
        <w:spacing w:after="80" w:line="269" w:lineRule="auto"/>
        <w:ind w:firstLine="397"/>
        <w:jc w:val="both"/>
      </w:pPr>
      <w:r>
        <w:rPr>
          <w:rFonts w:ascii="Times New Roman" w:hAnsi="Times New Roman" w:eastAsia="Times New Roman"/>
          <w:b w:val="0"/>
          <w:i w:val="0"/>
          <w:color w:val="20252B"/>
          <w:sz w:val="20"/>
        </w:rPr>
        <w:t>This appendix was compiled at the request of the project manager and contains the rationale for each calculation of the document: the original physical law, accepted assumptions, limits of applicability and an indication of what exactly makes the result reliable or limitedly reliable. The order of presentation corresponds to the order of sections.</w:t>
      </w:r>
    </w:p>
    <w:p>
      <w:pPr>
        <w:pageBreakBefore w:val="0"/>
        <w:spacing w:after="80" w:line="269" w:lineRule="auto"/>
        <w:ind w:firstLine="709"/>
        <w:jc w:val="both"/>
      </w:pPr>
      <w:r>
        <w:rPr>
          <w:rFonts w:ascii="Times New Roman" w:hAnsi="Times New Roman" w:eastAsia="Times New Roman"/>
          <w:b w:val="0"/>
          <w:i w:val="0"/>
          <w:color w:val="20252B"/>
          <w:sz w:val="20"/>
        </w:rPr>
        <w:t>B.1. Kinematics of rotation</w:t>
      </w:r>
    </w:p>
    <w:p>
      <w:pPr>
        <w:pageBreakBefore w:val="0"/>
        <w:spacing w:after="80" w:line="269" w:lineRule="auto"/>
        <w:ind w:firstLine="397"/>
        <w:jc w:val="both"/>
      </w:pPr>
      <w:r>
        <w:rPr>
          <w:rFonts w:ascii="Times New Roman" w:hAnsi="Times New Roman" w:eastAsia="Times New Roman"/>
          <w:b w:val="0"/>
          <w:i w:val="0"/>
          <w:color w:val="20252B"/>
          <w:sz w:val="20"/>
        </w:rPr>
        <w:t>The foundation is Newton's second law in a rotating frame of reference. The requirement a = g at radius R gives ω = √(g/R); at R = 5,000 m and g = 9.80665 m/s² it turns out ω = 0.04429 rad/s, period T = 2π/ω = 141.9 s, peripheral speed v = ωR = 221.5 m/s. The only assumption is that the body is at rest relative to the shell. The result is accurate within rounding limits and does not contain empirical coefficients.</w:t>
      </w:r>
    </w:p>
    <w:p>
      <w:pPr>
        <w:pageBreakBefore w:val="0"/>
        <w:spacing w:after="80" w:line="269" w:lineRule="auto"/>
        <w:ind w:firstLine="397"/>
        <w:jc w:val="both"/>
      </w:pPr>
      <w:r>
        <w:rPr>
          <w:rFonts w:ascii="Times New Roman" w:hAnsi="Times New Roman" w:eastAsia="Times New Roman"/>
          <w:b w:val="0"/>
          <w:i w:val="0"/>
          <w:color w:val="20252B"/>
          <w:sz w:val="20"/>
        </w:rPr>
        <w:t>The rotation speed limit was adopted based on data from ground-based and orbital experiments with vestibular adaptation: 0.423 rpm lies significantly below the threshold of 2 rpm at which complaints begin in unadapted subjects. This is the only place in kinematics where an empirical criterion is used rather than a law; The criterion was borrowed and was not tested within the project.</w:t>
      </w:r>
    </w:p>
    <w:p>
      <w:pPr>
        <w:pageBreakBefore w:val="0"/>
        <w:spacing w:after="80" w:line="269" w:lineRule="auto"/>
        <w:ind w:firstLine="709"/>
        <w:jc w:val="both"/>
      </w:pPr>
      <w:r>
        <w:rPr>
          <w:rFonts w:ascii="Times New Roman" w:hAnsi="Times New Roman" w:eastAsia="Times New Roman"/>
          <w:b w:val="0"/>
          <w:i w:val="0"/>
          <w:color w:val="20252B"/>
          <w:sz w:val="20"/>
        </w:rPr>
        <w:t>B.2. Geometry and volumes</w:t>
      </w:r>
    </w:p>
    <w:p>
      <w:pPr>
        <w:pageBreakBefore w:val="0"/>
        <w:spacing w:after="80" w:line="269" w:lineRule="auto"/>
        <w:ind w:firstLine="397"/>
        <w:jc w:val="both"/>
      </w:pPr>
      <w:r>
        <w:rPr>
          <w:rFonts w:ascii="Times New Roman" w:hAnsi="Times New Roman" w:eastAsia="Times New Roman"/>
          <w:b w:val="0"/>
          <w:i w:val="0"/>
          <w:color w:val="20252B"/>
          <w:sz w:val="20"/>
        </w:rPr>
        <w:t>Cylindrical part: V = πR²L, lateral surface S = 2πRL. The end parts are taken as oblate hemispheroids with an equatorial radius of 5,000 m and a polar semi-axis of 4,500 m; their volume is V = (2/3)πa²c, the area is calculated using the exact formula for a spheroid through eccentricity. Approximation by a hemisphere is unacceptable here: it overestimates the volume of the ends by 11%.</w:t>
      </w:r>
    </w:p>
    <w:p>
      <w:pPr>
        <w:pageBreakBefore w:val="0"/>
        <w:spacing w:after="80" w:line="269" w:lineRule="auto"/>
        <w:ind w:firstLine="397"/>
        <w:jc w:val="both"/>
      </w:pPr>
      <w:r>
        <w:rPr>
          <w:rFonts w:ascii="Times New Roman" w:hAnsi="Times New Roman" w:eastAsia="Times New Roman"/>
          <w:b w:val="0"/>
          <w:i w:val="0"/>
          <w:color w:val="20252B"/>
          <w:sz w:val="20"/>
        </w:rPr>
        <w:t>The end parts are modeled as oblate hemispheroids: the area of the two ends is 293.4 km², the volume is 471.2 km³. These values are used in all geometric and mass calculations.</w:t>
      </w:r>
    </w:p>
    <w:p>
      <w:pPr>
        <w:pageBreakBefore w:val="0"/>
        <w:spacing w:after="80" w:line="269" w:lineRule="auto"/>
        <w:ind w:firstLine="709"/>
        <w:jc w:val="both"/>
      </w:pPr>
      <w:r>
        <w:rPr>
          <w:rFonts w:ascii="Times New Roman" w:hAnsi="Times New Roman" w:eastAsia="Times New Roman"/>
          <w:b w:val="0"/>
          <w:i w:val="0"/>
          <w:color w:val="20252B"/>
          <w:sz w:val="20"/>
        </w:rPr>
        <w:t>B.3. Shell strength</w:t>
      </w:r>
    </w:p>
    <w:p>
      <w:pPr>
        <w:pageBreakBefore w:val="0"/>
        <w:spacing w:after="80" w:line="269" w:lineRule="auto"/>
        <w:ind w:firstLine="397"/>
        <w:jc w:val="both"/>
      </w:pPr>
      <w:r>
        <w:rPr>
          <w:rFonts w:ascii="Times New Roman" w:hAnsi="Times New Roman" w:eastAsia="Times New Roman"/>
          <w:b w:val="0"/>
          <w:i w:val="0"/>
          <w:color w:val="20252B"/>
          <w:sz w:val="20"/>
        </w:rPr>
        <w:t>The basis is the Laplace equation for a thin-walled shell of revolution. The thin-walled condition t/R = 0.85/5,000 = 1.7 10⁻⁴ is fulfilled with a large margin, so the stress distribution over the thickness can be neglected and the momentless theory can be applied.</w:t>
      </w:r>
    </w:p>
    <w:p>
      <w:pPr>
        <w:pageBreakBefore w:val="0"/>
        <w:spacing w:after="80" w:line="269" w:lineRule="auto"/>
        <w:ind w:firstLine="397"/>
        <w:jc w:val="both"/>
      </w:pPr>
      <w:r>
        <w:rPr>
          <w:rFonts w:ascii="Times New Roman" w:hAnsi="Times New Roman" w:eastAsia="Times New Roman"/>
          <w:b w:val="0"/>
          <w:i w:val="0"/>
          <w:color w:val="20252B"/>
          <w:sz w:val="20"/>
        </w:rPr>
        <w:t>Hoop stress σ = qR/t, where q is the total radial load from the centrifugal forces of soil, water and atmosphere, per unit area of the shell. Axial stress σос = pR/2t is created by atmospheric pressure on the ends. It is important that both stresses are tensile: this excludes loss of stability as a form of failure and leaves tensile strength as the only criterion (see paragraph 4.15).</w:t>
      </w:r>
    </w:p>
    <w:p>
      <w:pPr>
        <w:pageBreakBefore w:val="0"/>
        <w:spacing w:after="80" w:line="269" w:lineRule="auto"/>
        <w:ind w:firstLine="397"/>
        <w:jc w:val="both"/>
      </w:pPr>
      <w:r>
        <w:rPr>
          <w:rFonts w:ascii="Times New Roman" w:hAnsi="Times New Roman" w:eastAsia="Times New Roman"/>
          <w:b w:val="0"/>
          <w:i w:val="0"/>
          <w:color w:val="20252B"/>
          <w:sz w:val="20"/>
        </w:rPr>
        <w:t>The shell's own mass is included in the calculation of the hoop stress: it adds the term ρω²R²·t to the load, which, with the accepted values, constitutes a noticeable fraction. The margin of 1.53 is related to the tensile strength of 18Ni(300) steel 2,000 MPa, and not to the yield strength of 1,333 MPa; when attributed to fluidity, the margin will be 1.02, which should be considered the lower limit and the basis for further clarification of the thickness of the belt.</w:t>
      </w:r>
    </w:p>
    <w:p>
      <w:pPr>
        <w:pageBreakBefore w:val="0"/>
        <w:spacing w:after="80" w:line="269" w:lineRule="auto"/>
        <w:ind w:firstLine="709"/>
        <w:jc w:val="both"/>
      </w:pPr>
      <w:r>
        <w:rPr>
          <w:rFonts w:ascii="Times New Roman" w:hAnsi="Times New Roman" w:eastAsia="Times New Roman"/>
          <w:b w:val="0"/>
          <w:i w:val="0"/>
          <w:color w:val="20252B"/>
          <w:sz w:val="20"/>
        </w:rPr>
        <w:t>B.4. Masses</w:t>
      </w:r>
    </w:p>
    <w:p>
      <w:pPr>
        <w:pageBreakBefore w:val="0"/>
        <w:spacing w:after="80" w:line="269" w:lineRule="auto"/>
        <w:ind w:firstLine="397"/>
        <w:jc w:val="both"/>
      </w:pPr>
      <w:r>
        <w:rPr>
          <w:rFonts w:ascii="Times New Roman" w:hAnsi="Times New Roman" w:eastAsia="Times New Roman"/>
          <w:b w:val="0"/>
          <w:i w:val="0"/>
          <w:color w:val="20252B"/>
          <w:sz w:val="20"/>
        </w:rPr>
        <w:t>The mass of the structural package was obtained by multiplying the total area of the shell (cylinder plus two ends) by the thickness of the layers and their densities according to Table 4.2: power belt 0.85 m of steel, containment shell 0.05 m of steel, radiation protection 1.00 m of regolith. The mass of soil and water is taken according to the design standards of the layer. The error is determined by the accuracy of the regolith density and is estimated at 5%.</w:t>
      </w:r>
    </w:p>
    <w:p>
      <w:pPr>
        <w:pageBreakBefore w:val="0"/>
        <w:spacing w:after="80" w:line="269" w:lineRule="auto"/>
        <w:ind w:firstLine="397"/>
        <w:jc w:val="both"/>
      </w:pPr>
      <w:r>
        <w:rPr>
          <w:rFonts w:ascii="Times New Roman" w:hAnsi="Times New Roman" w:eastAsia="Times New Roman"/>
          <w:b w:val="0"/>
          <w:i w:val="0"/>
          <w:color w:val="20252B"/>
          <w:sz w:val="20"/>
        </w:rPr>
        <w:t>The mass of the atmosphere is calculated by integration over the rotating volume. The barometric law gives 3.77 billion tons per cylinder and 7.55 billion tons per station; the axle/wall density ratio is 0.747, the pressure on the axle is 74.7 kPa.</w:t>
      </w:r>
    </w:p>
    <w:p>
      <w:pPr>
        <w:pageBreakBefore w:val="0"/>
        <w:spacing w:after="80" w:line="269" w:lineRule="auto"/>
        <w:ind w:firstLine="709"/>
        <w:jc w:val="both"/>
      </w:pPr>
      <w:r>
        <w:rPr>
          <w:rFonts w:ascii="Times New Roman" w:hAnsi="Times New Roman" w:eastAsia="Times New Roman"/>
          <w:b w:val="0"/>
          <w:i w:val="0"/>
          <w:color w:val="20252B"/>
          <w:sz w:val="20"/>
        </w:rPr>
        <w:t>B.5. Energy and heat dissipation</w:t>
      </w:r>
    </w:p>
    <w:p>
      <w:pPr>
        <w:pageBreakBefore w:val="0"/>
        <w:spacing w:after="80" w:line="269" w:lineRule="auto"/>
        <w:ind w:firstLine="397"/>
        <w:jc w:val="both"/>
      </w:pPr>
      <w:r>
        <w:rPr>
          <w:rFonts w:ascii="Times New Roman" w:hAnsi="Times New Roman" w:eastAsia="Times New Roman"/>
          <w:b w:val="0"/>
          <w:i w:val="0"/>
          <w:color w:val="20252B"/>
          <w:sz w:val="20"/>
        </w:rPr>
        <w:t>The basis is the Stefan-Boltzmann law: the power output is proportional to the fourth power of the absolute temperature of the radiator. It is this dependence that makes low-temperature discharge expensive in terms of area and justifies the use of heat pumps: raising the radiator temperature from 25 to 60 °C reduces the required area by 1.5 times at a cost of 96 GW to drive the pumps at COP = 6.</w:t>
      </w:r>
    </w:p>
    <w:p>
      <w:pPr>
        <w:pageBreakBefore w:val="0"/>
        <w:spacing w:after="80" w:line="269" w:lineRule="auto"/>
        <w:ind w:firstLine="397"/>
        <w:jc w:val="both"/>
      </w:pPr>
      <w:r>
        <w:rPr>
          <w:rFonts w:ascii="Times New Roman" w:hAnsi="Times New Roman" w:eastAsia="Times New Roman"/>
          <w:b w:val="0"/>
          <w:i w:val="0"/>
          <w:color w:val="20252B"/>
          <w:sz w:val="20"/>
        </w:rPr>
        <w:t>The required area of 1,022 km² corresponds to a low-temperature load of 677 GW at a temperature of 333 K and an emissivity of 0.95. The load is less than the total electrical power of 721.4 GW by 44.4 GW, carried by the mass driver jet outside the station (section 11.5). The high-temperature discharge of the reactors amounts to 882 GW at 800 °C and is distributed to separate radiators with an area of about 12.4 km²: mixing contours of different temperatures is unacceptable, since the area is determined by the fourth degree of temperature. At ε = 0.90, the area of the low-temperature contour increases to approximately 1,079 km²; the margin remains around 1.37. The main accepted calculation remains ε = 0.95.</w:t>
      </w:r>
    </w:p>
    <w:p>
      <w:pPr>
        <w:pageBreakBefore w:val="0"/>
        <w:spacing w:after="80" w:line="269" w:lineRule="auto"/>
        <w:ind w:firstLine="709"/>
        <w:jc w:val="both"/>
      </w:pPr>
      <w:r>
        <w:rPr>
          <w:rFonts w:ascii="Times New Roman" w:hAnsi="Times New Roman" w:eastAsia="Times New Roman"/>
          <w:b w:val="0"/>
          <w:i w:val="0"/>
          <w:color w:val="20252B"/>
          <w:sz w:val="20"/>
        </w:rPr>
        <w:t>B.6. Biosphere</w:t>
      </w:r>
    </w:p>
    <w:p>
      <w:pPr>
        <w:pageBreakBefore w:val="0"/>
        <w:spacing w:after="80" w:line="269" w:lineRule="auto"/>
        <w:ind w:firstLine="397"/>
        <w:jc w:val="both"/>
      </w:pPr>
      <w:r>
        <w:rPr>
          <w:rFonts w:ascii="Times New Roman" w:hAnsi="Times New Roman" w:eastAsia="Times New Roman"/>
          <w:b w:val="0"/>
          <w:i w:val="0"/>
          <w:color w:val="20252B"/>
          <w:sz w:val="20"/>
        </w:rPr>
        <w:t>The balances of oxygen, carbon dioxide, water and calories are constructed as stationary mass conservation equations: income equals consumption. Consumption standards per person are taken according to physiological data, crop productivity is based on the average values of terrestrial intensive crop production given in Table 5.5.</w:t>
      </w:r>
    </w:p>
    <w:p>
      <w:pPr>
        <w:pageBreakBefore w:val="0"/>
        <w:spacing w:after="80" w:line="269" w:lineRule="auto"/>
        <w:ind w:firstLine="397"/>
        <w:jc w:val="both"/>
      </w:pPr>
      <w:r>
        <w:rPr>
          <w:rFonts w:ascii="Times New Roman" w:hAnsi="Times New Roman" w:eastAsia="Times New Roman"/>
          <w:b w:val="0"/>
          <w:i w:val="0"/>
          <w:color w:val="20252B"/>
          <w:sz w:val="20"/>
        </w:rPr>
        <w:t>The limits of applicability are significant and are expressly stated. The stationary balance does not take into account transient processes, the accumulation of nutrients in the soil and the absorption of oxygen by structures - it was the latter factor that led to a drop in oxygen content in the Biosphere-2 experiment. Therefore, the multiplicity of 1.83 in caloric content should be understood as a design reserve, and not as proof of the stability of the system: the stability of a closed biosphere cannot be proven by stationary calculations in principle and must be verified by modeling dynamics.</w:t>
      </w:r>
    </w:p>
    <w:p>
      <w:pPr>
        <w:pageBreakBefore w:val="0"/>
        <w:spacing w:after="80" w:line="269" w:lineRule="auto"/>
        <w:ind w:firstLine="709"/>
        <w:jc w:val="both"/>
      </w:pPr>
      <w:r>
        <w:rPr>
          <w:rFonts w:ascii="Times New Roman" w:hAnsi="Times New Roman" w:eastAsia="Times New Roman"/>
          <w:b w:val="0"/>
          <w:i w:val="0"/>
          <w:color w:val="20252B"/>
          <w:sz w:val="20"/>
        </w:rPr>
        <w:t>B.7. Transport and accommodation</w:t>
      </w:r>
    </w:p>
    <w:p>
      <w:pPr>
        <w:pageBreakBefore w:val="0"/>
        <w:spacing w:after="80" w:line="269" w:lineRule="auto"/>
        <w:ind w:firstLine="397"/>
        <w:jc w:val="both"/>
      </w:pPr>
      <w:r>
        <w:rPr>
          <w:rFonts w:ascii="Times New Roman" w:hAnsi="Times New Roman" w:eastAsia="Times New Roman"/>
          <w:b w:val="0"/>
          <w:i w:val="0"/>
          <w:color w:val="20252B"/>
          <w:sz w:val="20"/>
        </w:rPr>
        <w:t>The ascent time along the inclined shaft is calculated from the length of the route and the accepted speed of the cabin, taking into account acceleration and braking. The Coriolis acceleration a = 2ωv is calculated for radial motion and is 0.015 g, which is below the noticeability threshold.</w:t>
      </w:r>
    </w:p>
    <w:p>
      <w:pPr>
        <w:pageBreakBefore w:val="0"/>
        <w:spacing w:after="80" w:line="269" w:lineRule="auto"/>
        <w:ind w:firstLine="397"/>
        <w:jc w:val="both"/>
      </w:pPr>
      <w:r>
        <w:rPr>
          <w:rFonts w:ascii="Times New Roman" w:hAnsi="Times New Roman" w:eastAsia="Times New Roman"/>
          <w:b w:val="0"/>
          <w:i w:val="0"/>
          <w:color w:val="20252B"/>
          <w:sz w:val="20"/>
        </w:rPr>
        <w:t>Capacity is 1,350 people per hour per cylinder and 2,700 people per hour per station. When the four corridors are fully operational, transport passes 500,000 people in approximately 7.7 days, but the planned period for settling the full population of the station is determined by the quarantine flow of 100,000 people per year and is ten years.</w:t>
      </w:r>
    </w:p>
    <w:p>
      <w:pPr>
        <w:pageBreakBefore w:val="0"/>
        <w:spacing w:after="80" w:line="269" w:lineRule="auto"/>
        <w:ind w:firstLine="709"/>
        <w:jc w:val="both"/>
      </w:pPr>
      <w:r>
        <w:rPr>
          <w:rFonts w:ascii="Times New Roman" w:hAnsi="Times New Roman" w:eastAsia="Times New Roman"/>
          <w:b w:val="0"/>
          <w:i w:val="0"/>
          <w:color w:val="20252B"/>
          <w:sz w:val="20"/>
        </w:rPr>
        <w:t>B.8. Shell making</w:t>
      </w:r>
    </w:p>
    <w:p>
      <w:pPr>
        <w:pageBreakBefore w:val="0"/>
        <w:spacing w:after="80" w:line="269" w:lineRule="auto"/>
        <w:ind w:firstLine="397"/>
        <w:jc w:val="both"/>
      </w:pPr>
      <w:r>
        <w:rPr>
          <w:rFonts w:ascii="Times New Roman" w:hAnsi="Times New Roman" w:eastAsia="Times New Roman"/>
          <w:b w:val="0"/>
          <w:i w:val="0"/>
          <w:color w:val="20252B"/>
          <w:sz w:val="20"/>
        </w:rPr>
        <w:t>The crystallization time of the panel was estimated using Khvorinov’s rule τ = k·(V/A)², calibrated using the only available full-scale point—a Siempelkamp casting weighing 270 tons, cooled for four weeks. The transfer of the terrestrial calibration to vacuum conditions is an assumption: on Earth, heat is removed into form by conduction, in a vacuum - by radiation. The estimate of 4 days per panel is of an order of magnitude, not an estimated period.</w:t>
      </w:r>
    </w:p>
    <w:p>
      <w:pPr>
        <w:pageBreakBefore w:val="0"/>
        <w:spacing w:after="80" w:line="269" w:lineRule="auto"/>
        <w:ind w:firstLine="397"/>
        <w:jc w:val="both"/>
      </w:pPr>
      <w:r>
        <w:rPr>
          <w:rFonts w:ascii="Times New Roman" w:hAnsi="Times New Roman" w:eastAsia="Times New Roman"/>
          <w:b w:val="0"/>
          <w:i w:val="0"/>
          <w:color w:val="20252B"/>
          <w:sz w:val="20"/>
        </w:rPr>
        <w:t>Thermal stresses during uneven cooling are calculated using the formula σ = EαΔT/(1−ν) for constrained deformation. A difference of 100 K across the cross section gives 326 MPa with a yield strength of hot steel of about 200 MPa, which implies the requirement for controlled cooling. The calculation is conservative: it assumes complete constraint, while the real panel is partially free.</w:t>
      </w:r>
    </w:p>
    <w:p>
      <w:pPr>
        <w:pageBreakBefore w:val="0"/>
        <w:spacing w:after="80" w:line="269" w:lineRule="auto"/>
        <w:ind w:firstLine="397"/>
        <w:jc w:val="both"/>
      </w:pPr>
      <w:r>
        <w:rPr>
          <w:rFonts w:ascii="Times New Roman" w:hAnsi="Times New Roman" w:eastAsia="Times New Roman"/>
          <w:b w:val="0"/>
          <w:i w:val="0"/>
          <w:color w:val="20252B"/>
          <w:sz w:val="20"/>
        </w:rPr>
        <w:t>All conclusions of Chapter 10 are related to calculated hypotheses. There is no full-scale experience of casting steel in zero gravity on the required scale; extrapolation is made from terrestrial metallurgy with the gravity limitation removed and is subject to experimental verification before design decisions are made.</w:t>
      </w:r>
    </w:p>
    <w:p>
      <w:pPr>
        <w:pageBreakBefore w:val="0"/>
        <w:spacing w:after="80" w:line="269" w:lineRule="auto"/>
        <w:ind w:firstLine="709"/>
        <w:jc w:val="both"/>
      </w:pPr>
      <w:r>
        <w:rPr>
          <w:rFonts w:ascii="Times New Roman" w:hAnsi="Times New Roman" w:eastAsia="Times New Roman"/>
          <w:b w:val="0"/>
          <w:i w:val="0"/>
          <w:color w:val="20252B"/>
          <w:sz w:val="20"/>
        </w:rPr>
        <w:t>B.9. Confidence Summary</w:t>
      </w:r>
    </w:p>
    <w:p>
      <w:pPr>
        <w:pageBreakBefore w:val="0"/>
        <w:spacing w:after="80" w:line="269" w:lineRule="auto"/>
        <w:ind w:firstLine="397"/>
        <w:jc w:val="both"/>
      </w:pPr>
      <w:r>
        <w:rPr>
          <w:rFonts w:ascii="Times New Roman" w:hAnsi="Times New Roman" w:eastAsia="Times New Roman"/>
          <w:b w:val="0"/>
          <w:i w:val="0"/>
          <w:color w:val="20252B"/>
          <w:sz w:val="20"/>
        </w:rPr>
        <w:t>The document's calculations are divided into three groups according to the degree of validity. The first is derived directly from the laws of mechanics and thermodynamics: rotation kinematics, geometry, shell stresses, masses, heat removal. These results are reliable within the accuracy of the original values and were verified by independent recalculation.</w:t>
      </w:r>
    </w:p>
    <w:p>
      <w:pPr>
        <w:pageBreakBefore w:val="0"/>
        <w:spacing w:after="80" w:line="269" w:lineRule="auto"/>
        <w:ind w:firstLine="397"/>
        <w:jc w:val="both"/>
      </w:pPr>
      <w:r>
        <w:rPr>
          <w:rFonts w:ascii="Times New Roman" w:hAnsi="Times New Roman" w:eastAsia="Times New Roman"/>
          <w:b w:val="0"/>
          <w:i w:val="0"/>
          <w:color w:val="20252B"/>
          <w:sz w:val="20"/>
        </w:rPr>
        <w:t>The second group is based on empirical data of earthly origin: physiological norms, crop productivity, thresholds of vestibular adaptation, incubation periods of infections. They are reliable to the extent that the transfer of terrestrial data to station conditions is legitimate; Each such transfer is specified in the text.</w:t>
      </w:r>
    </w:p>
    <w:p>
      <w:pPr>
        <w:pageBreakBefore w:val="0"/>
        <w:spacing w:after="80" w:line="269" w:lineRule="auto"/>
        <w:ind w:firstLine="397"/>
        <w:jc w:val="both"/>
      </w:pPr>
      <w:r>
        <w:rPr>
          <w:rFonts w:ascii="Times New Roman" w:hAnsi="Times New Roman" w:eastAsia="Times New Roman"/>
          <w:b w:val="0"/>
          <w:i w:val="0"/>
          <w:color w:val="20252B"/>
          <w:sz w:val="20"/>
        </w:rPr>
        <w:t>The third group is extrapolations beyond the limits of existing experience: casting in zero gravity, extraction of volatiles on an industrial scale, stability of a closed biosphere over the horizon of centuries. These provisions have the nature of reasonable hypotheses and are designated as such. Mixing the three groups in the presentation is not allowed: it is precisely this that gives rise to false confidence in projects of this scale.</w:t>
      </w:r>
    </w:p>
    <w:p>
      <w:pPr>
        <w:pageBreakBefore w:val="0"/>
        <w:spacing w:after="80" w:line="269" w:lineRule="auto"/>
        <w:ind w:firstLine="709"/>
        <w:jc w:val="both"/>
      </w:pPr>
      <w:r>
        <w:rPr>
          <w:rFonts w:ascii="Times New Roman" w:hAnsi="Times New Roman" w:eastAsia="Times New Roman"/>
          <w:b w:val="0"/>
          <w:i w:val="0"/>
          <w:color w:val="20252B"/>
          <w:sz w:val="20"/>
        </w:rPr>
        <w:t>B.10. Estimated population</w:t>
      </w:r>
    </w:p>
    <w:p>
      <w:pPr>
        <w:pageBreakBefore w:val="0"/>
        <w:spacing w:after="80" w:line="269" w:lineRule="auto"/>
        <w:ind w:firstLine="397"/>
        <w:jc w:val="both"/>
      </w:pPr>
      <w:r>
        <w:rPr>
          <w:rFonts w:ascii="Times New Roman" w:hAnsi="Times New Roman" w:eastAsia="Times New Roman"/>
          <w:b w:val="0"/>
          <w:i w:val="0"/>
          <w:color w:val="20252B"/>
          <w:sz w:val="20"/>
        </w:rPr>
        <w:t>The estimated population of the station is taken to be 1,000,000 people, 500,000 per cylinder. Proportional norms for gas exchange, water and household energy are set for a million inhabitants; areas, masses of the shell and general station consumers do not depend on the number.</w:t>
      </w:r>
    </w:p>
    <w:p>
      <w:pPr>
        <w:pageBreakBefore w:val="0"/>
        <w:spacing w:after="80" w:line="269" w:lineRule="auto"/>
        <w:ind w:firstLine="709"/>
        <w:jc w:val="both"/>
      </w:pPr>
      <w:r>
        <w:rPr>
          <w:rFonts w:ascii="Times New Roman" w:hAnsi="Times New Roman" w:eastAsia="Times New Roman"/>
          <w:b w:val="0"/>
          <w:i w:val="0"/>
          <w:color w:val="20252B"/>
          <w:sz w:val="20"/>
        </w:rPr>
        <w:t>B.11. Depth of reservoirs and soil thickness</w:t>
      </w:r>
    </w:p>
    <w:p>
      <w:pPr>
        <w:pageBreakBefore w:val="0"/>
        <w:spacing w:after="80" w:line="269" w:lineRule="auto"/>
        <w:ind w:firstLine="397"/>
        <w:jc w:val="both"/>
      </w:pPr>
      <w:r>
        <w:rPr>
          <w:rFonts w:ascii="Times New Roman" w:hAnsi="Times New Roman" w:eastAsia="Times New Roman"/>
          <w:b w:val="0"/>
          <w:i w:val="0"/>
          <w:color w:val="20252B"/>
          <w:sz w:val="20"/>
        </w:rPr>
        <w:t>The average depth of open reservoirs is assumed to be 1.2 m with an average soil layer of 1.5 m. This placement does not violate the force belt and corresponds to the water balance of the station.</w:t>
      </w:r>
    </w:p>
    <w:p>
      <w:pPr>
        <w:pageBreakBefore w:val="0"/>
        <w:spacing w:after="80" w:line="269" w:lineRule="auto"/>
        <w:ind w:firstLine="397"/>
        <w:jc w:val="both"/>
      </w:pPr>
      <w:r>
        <w:rPr>
          <w:rFonts w:ascii="Times New Roman" w:hAnsi="Times New Roman" w:eastAsia="Times New Roman"/>
          <w:b w:val="0"/>
          <w:i w:val="0"/>
          <w:color w:val="20252B"/>
          <w:sz w:val="20"/>
        </w:rPr>
        <w:t>Geometry. Open reservoirs 1.2 m deep are located in the soil layer; penetration into the power belt is not allowed. Fish pools up to 3 m deep are made using the bulk method.</w:t>
      </w:r>
    </w:p>
    <w:p>
      <w:pPr>
        <w:pageBreakBefore w:val="0"/>
        <w:spacing w:after="80" w:line="269" w:lineRule="auto"/>
        <w:ind w:firstLine="397"/>
        <w:jc w:val="both"/>
      </w:pPr>
      <w:r>
        <w:rPr>
          <w:rFonts w:ascii="Times New Roman" w:hAnsi="Times New Roman" w:eastAsia="Times New Roman"/>
          <w:b w:val="0"/>
          <w:i w:val="0"/>
          <w:color w:val="20252B"/>
          <w:sz w:val="20"/>
        </w:rPr>
        <w:t>Weight. The water balance is calculated for open reservoirs, fish ponds, soil moisture, atmospheric moisture, return circuits and biomass water. The water balance table gives 0.586 billion tons per cylinder and 1.171 billion tons per station.</w:t>
      </w:r>
    </w:p>
    <w:p>
      <w:pPr>
        <w:pageBreakBefore w:val="0"/>
        <w:spacing w:after="80" w:line="269" w:lineRule="auto"/>
        <w:ind w:firstLine="397"/>
        <w:jc w:val="both"/>
      </w:pPr>
      <w:r>
        <w:rPr>
          <w:rFonts w:ascii="Times New Roman" w:hAnsi="Times New Roman" w:eastAsia="Times New Roman"/>
          <w:b w:val="0"/>
          <w:i w:val="0"/>
          <w:color w:val="20252B"/>
          <w:sz w:val="20"/>
        </w:rPr>
        <w:t>Decision made. The average depth of open reservoirs is 1.2 m; fish tanks are built in bulk. The design maintains tightness and provides the required aquatic biocenoses.</w:t>
      </w:r>
    </w:p>
    <w:p>
      <w:pPr>
        <w:pageBreakBefore w:val="0"/>
        <w:spacing w:after="80" w:line="269" w:lineRule="auto"/>
        <w:ind w:firstLine="397"/>
        <w:jc w:val="both"/>
      </w:pPr>
      <w:r>
        <w:rPr>
          <w:rFonts w:ascii="Times New Roman" w:hAnsi="Times New Roman" w:eastAsia="Times New Roman"/>
          <w:b w:val="0"/>
          <w:i w:val="0"/>
          <w:color w:val="20252B"/>
          <w:sz w:val="20"/>
        </w:rPr>
        <w:t>For fish pools, where the depth of 1.2 m is insufficient, a different solution is adopted: they are made not by excavation, but by the bulk method - the bed is formed by raising the embankment along the perimeter, while the bottom remains above the level of the containment shell. The depth of such pools up to 3 m is achieved by an embankment 1.8 m high; soil consumption for diking with a basin area of 15 km² is about 0.05 billion tons and is taken into account in the mass balance.</w:t>
      </w:r>
    </w:p>
    <w:p>
      <w:pPr>
        <w:pageBreakBefore w:val="0"/>
        <w:spacing w:after="80" w:line="269" w:lineRule="auto"/>
        <w:ind w:firstLine="397"/>
        <w:jc w:val="both"/>
      </w:pPr>
      <w:r>
        <w:rPr>
          <w:rFonts w:ascii="Times New Roman" w:hAnsi="Times New Roman" w:eastAsia="Times New Roman"/>
          <w:b w:val="0"/>
          <w:i w:val="0"/>
          <w:color w:val="20252B"/>
          <w:sz w:val="20"/>
        </w:rPr>
        <w:t>The general rule that follows from the analysis: in a structure with a load-bearing shell, the depth of any structure is limited by the thickness of the soil, and any object requiring greater depth should be created by raising the surrounding terrain, and not by excavation. This provision is subject to extension to building foundations, underground communications and cellars.</w:t>
      </w:r>
    </w:p>
    <w:p>
      <w:pPr>
        <w:pageBreakBefore w:val="0"/>
        <w:spacing w:after="80" w:line="269" w:lineRule="auto"/>
        <w:ind w:firstLine="709"/>
        <w:jc w:val="both"/>
      </w:pPr>
      <w:r>
        <w:rPr>
          <w:rFonts w:ascii="Times New Roman" w:hAnsi="Times New Roman" w:eastAsia="Times New Roman"/>
          <w:b w:val="0"/>
          <w:i w:val="0"/>
          <w:color w:val="20252B"/>
          <w:sz w:val="20"/>
        </w:rPr>
        <w:t>B.12. Purpose of the Arctic zone and placement of greenhouses</w:t>
      </w:r>
    </w:p>
    <w:p>
      <w:pPr>
        <w:pageBreakBefore w:val="0"/>
        <w:spacing w:after="80" w:line="269" w:lineRule="auto"/>
        <w:ind w:firstLine="397"/>
        <w:jc w:val="both"/>
      </w:pPr>
      <w:r>
        <w:rPr>
          <w:rFonts w:ascii="Times New Roman" w:hAnsi="Times New Roman" w:eastAsia="Times New Roman"/>
          <w:b w:val="0"/>
          <w:i w:val="0"/>
          <w:color w:val="20252B"/>
          <w:sz w:val="20"/>
        </w:rPr>
        <w:t>Heat-loving crops, vegetables, herbs and medicinal herbs are placed in tropical and subtropical zones, where axial light-thermal beams provide sufficient light flux, and the climate system maintains the required heat. Frost-resistant crops remain in the cold zone; heated greenhouses and hydroponic installations are not provided there.</w:t>
      </w:r>
    </w:p>
    <w:p>
      <w:pPr>
        <w:pageBreakBefore w:val="0"/>
        <w:spacing w:after="80" w:line="269" w:lineRule="auto"/>
        <w:ind w:firstLine="397"/>
        <w:jc w:val="both"/>
      </w:pPr>
      <w:r>
        <w:rPr>
          <w:rFonts w:ascii="Times New Roman" w:hAnsi="Times New Roman" w:eastAsia="Times New Roman"/>
          <w:b w:val="0"/>
          <w:i w:val="0"/>
          <w:color w:val="20252B"/>
          <w:sz w:val="20"/>
        </w:rPr>
        <w:t>Placing warm-season crops in a cold zone would require additional lighting and heating. The free reserve of warm zones is 536 km², so greenhouses are transferred to warm zones without a shortage of space.</w:t>
      </w:r>
    </w:p>
    <w:p>
      <w:pPr>
        <w:pageBreakBefore w:val="0"/>
        <w:spacing w:after="80" w:line="269" w:lineRule="auto"/>
        <w:ind w:firstLine="397"/>
        <w:jc w:val="both"/>
      </w:pPr>
      <w:r>
        <w:rPr>
          <w:rFonts w:ascii="Times New Roman" w:hAnsi="Times New Roman" w:eastAsia="Times New Roman"/>
          <w:b w:val="0"/>
          <w:i w:val="0"/>
          <w:color w:val="20252B"/>
          <w:sz w:val="20"/>
        </w:rPr>
        <w:t>At the same time, the free reserve of agricultural areas in warm zones is 536 km² (Table 5.6). There is no shortage of warm land, and the placement of heat-loving crops in the Arctic is not caused by necessity.</w:t>
      </w:r>
    </w:p>
    <w:p>
      <w:pPr>
        <w:pageBreakBefore w:val="0"/>
        <w:spacing w:after="80" w:line="269" w:lineRule="auto"/>
        <w:ind w:firstLine="397"/>
        <w:jc w:val="both"/>
      </w:pPr>
      <w:r>
        <w:rPr>
          <w:rFonts w:ascii="Times New Roman" w:hAnsi="Times New Roman" w:eastAsia="Times New Roman"/>
          <w:b w:val="0"/>
          <w:i w:val="0"/>
          <w:color w:val="20252B"/>
          <w:sz w:val="20"/>
        </w:rPr>
        <w:t>Heat-loving vegetables, herbs and mushrooms are located in tropical and subtropical zones. The open soil of the cold zone is allocated for frost-resistant perennial crops; the functions of cold storage, reception of excess heat and low-temperature production are preserved.</w:t>
      </w:r>
    </w:p>
    <w:p>
      <w:pPr>
        <w:pageBreakBefore w:val="0"/>
        <w:spacing w:after="80" w:line="269" w:lineRule="auto"/>
        <w:ind w:firstLine="397"/>
        <w:jc w:val="both"/>
      </w:pPr>
      <w:r>
        <w:rPr>
          <w:rFonts w:ascii="Times New Roman" w:hAnsi="Times New Roman" w:eastAsia="Times New Roman"/>
          <w:b w:val="0"/>
          <w:i w:val="0"/>
          <w:color w:val="20252B"/>
          <w:sz w:val="20"/>
        </w:rPr>
        <w:t>The actual purpose of the Arctic zone, for the sake of which it is preserved, is different and consists of four functions. The first is cold storage: natural chambers at −5...−15 °C ensure freezing of products without energy consumption (clause 5.4). The second is a receiver of excess heat from the tropical zone, which reduces the load on radiators (section 4.4). The third is to ensure seasonality and diversity of the habitat, necessary under the conditions of the psychology of a closed space. The fourth is the location of production facilities that require low temperatures and long-term storage warehouses.</w:t>
      </w:r>
    </w:p>
    <w:p>
      <w:pPr>
        <w:pageBreakBefore w:val="0"/>
        <w:spacing w:after="80" w:line="269" w:lineRule="auto"/>
        <w:ind w:firstLine="397"/>
        <w:jc w:val="both"/>
      </w:pPr>
      <w:r>
        <w:rPr>
          <w:rFonts w:ascii="Times New Roman" w:hAnsi="Times New Roman" w:eastAsia="Times New Roman"/>
          <w:b w:val="0"/>
          <w:i w:val="0"/>
          <w:color w:val="20252B"/>
          <w:sz w:val="20"/>
        </w:rPr>
        <w:t>The purpose of each zone is determined by its natural conditions, and not by the desire to locate a full range of production facilities in it.</w:t>
      </w:r>
    </w:p>
    <w:p>
      <w:pPr>
        <w:pageBreakBefore w:val="0"/>
        <w:spacing w:after="80" w:line="269" w:lineRule="auto"/>
        <w:ind w:firstLine="709"/>
        <w:jc w:val="both"/>
      </w:pPr>
      <w:r>
        <w:rPr>
          <w:rFonts w:ascii="Times New Roman" w:hAnsi="Times New Roman" w:eastAsia="Times New Roman"/>
          <w:b w:val="0"/>
          <w:i w:val="0"/>
          <w:color w:val="20252B"/>
          <w:sz w:val="20"/>
        </w:rPr>
        <w:t>B.13. Station water balance</w:t>
      </w:r>
    </w:p>
    <w:p>
      <w:pPr>
        <w:pageBreakBefore w:val="0"/>
        <w:spacing w:after="80" w:line="269" w:lineRule="auto"/>
        <w:ind w:firstLine="397"/>
        <w:jc w:val="both"/>
      </w:pPr>
      <w:r>
        <w:rPr>
          <w:rFonts w:ascii="Times New Roman" w:hAnsi="Times New Roman" w:eastAsia="Times New Roman"/>
          <w:b w:val="0"/>
          <w:i w:val="0"/>
          <w:color w:val="20252B"/>
          <w:sz w:val="20"/>
        </w:rPr>
        <w:t>Greenhouses and hydroponic installations are not located in the cold zone; crops are transferred to warm zones. Frost-resistant perennials, algae, cold pool fish and low-temperature production remain in the cold zone.</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What is carried over</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Square</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Where</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Base</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Vegetables, herbs, medicinal herbs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8.8 km²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Subtropical zone, 10–22 km</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Light OSB 170 W/m², +15…+28 °C</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Mushrooms (dark rooms)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6.0 km²</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Temperate zone, 22–32 km</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No light required, 0…+15 °C is enough</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TOTAL removed from the cold zone</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14.8 km²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w:t>
            </w:r>
          </w:p>
        </w:tc>
      </w:tr>
    </w:tbl>
    <w:p>
      <w:pPr>
        <w:pageBreakBefore w:val="0"/>
        <w:spacing w:after="80" w:line="269" w:lineRule="auto"/>
        <w:ind w:firstLine="397"/>
        <w:jc w:val="both"/>
      </w:pPr>
      <w:r>
        <w:rPr>
          <w:rFonts w:ascii="Times New Roman" w:hAnsi="Times New Roman" w:eastAsia="Times New Roman"/>
          <w:b w:val="0"/>
          <w:i w:val="0"/>
          <w:color w:val="20252B"/>
          <w:sz w:val="20"/>
        </w:rPr>
        <w:t>Moving crops to warm zones reduces the load on the plant by 4.15 GW, or 0.58% of the total electrical capacity of 721.4 GW.</w:t>
      </w:r>
    </w:p>
    <w:p>
      <w:pPr>
        <w:pageBreakBefore w:val="0"/>
        <w:spacing w:after="80" w:line="269" w:lineRule="auto"/>
        <w:ind w:firstLine="397"/>
        <w:jc w:val="both"/>
      </w:pPr>
      <w:r>
        <w:rPr>
          <w:rFonts w:ascii="Times New Roman" w:hAnsi="Times New Roman" w:eastAsia="Times New Roman"/>
          <w:b w:val="0"/>
          <w:i w:val="0"/>
          <w:color w:val="20252B"/>
          <w:sz w:val="20"/>
        </w:rPr>
        <w:t>Accommodation is provided by the area: 29.6 km² for two stations constitutes 5.5% of the free reserve of warm zones equal to 536 km². The food balance of Chapter 5 does not change - the same crops are transferred to the same areas, only the placement area changes.</w:t>
      </w:r>
    </w:p>
    <w:p>
      <w:pPr>
        <w:pageBreakBefore w:val="0"/>
        <w:spacing w:after="80" w:line="269" w:lineRule="auto"/>
        <w:ind w:firstLine="397"/>
        <w:jc w:val="both"/>
      </w:pPr>
      <w:r>
        <w:rPr>
          <w:rFonts w:ascii="Times New Roman" w:hAnsi="Times New Roman" w:eastAsia="Times New Roman"/>
          <w:b w:val="0"/>
          <w:i w:val="0"/>
          <w:color w:val="20252B"/>
          <w:sz w:val="20"/>
        </w:rPr>
        <w:t>In the cold zone, only frost-resistant perennials of open ground remain - reindeer moss, lingonberry, blueberry, cloudberry, cranberry, crowberry, mosses - as well as algae and fish of cold pools and animals in insulated rooms. The four intrinsic functions of the zone listed above are fully preserved: cold storage, receiving excess heat from the tropics, seasonality of the environment and low-temperature production.</w:t>
      </w:r>
    </w:p>
    <w:p>
      <w:pPr>
        <w:pageBreakBefore w:val="0"/>
        <w:spacing w:after="80" w:line="269" w:lineRule="auto"/>
        <w:ind w:firstLine="397"/>
        <w:jc w:val="both"/>
      </w:pPr>
      <w:r>
        <w:rPr>
          <w:rFonts w:ascii="Times New Roman" w:hAnsi="Times New Roman" w:eastAsia="Times New Roman"/>
          <w:b w:val="0"/>
          <w:i w:val="0"/>
          <w:color w:val="20252B"/>
          <w:sz w:val="20"/>
        </w:rPr>
        <w:t>The water balance of the station is 1.171 billion tons; its structure is shown in the water balance table. Open water is only part of the total reserve, the main share is bound in the soil and circulation circuits.</w:t>
      </w:r>
    </w:p>
    <w:p>
      <w:pPr>
        <w:pageBreakBefore w:val="0"/>
        <w:spacing w:after="80" w:line="269" w:lineRule="auto"/>
        <w:ind w:firstLine="397"/>
        <w:jc w:val="both"/>
      </w:pPr>
      <w:r>
        <w:rPr>
          <w:rFonts w:ascii="Times New Roman" w:hAnsi="Times New Roman" w:eastAsia="Times New Roman"/>
          <w:b w:val="0"/>
          <w:i w:val="0"/>
          <w:color w:val="20252B"/>
          <w:sz w:val="20"/>
        </w:rPr>
        <w:t>For one cylinder, the mass of water is 0.586 billion tons, for a station - 1.171 billion tons. These values are used in mass balance, turnover period and calculation of losses during regeneration.</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Component of water balance</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Calculation</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Volume, km³</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Share</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Open waters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135 km² × 1.2 m</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0,162</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28 %</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Fish pools (bulk)</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15 km² × 3.0 m</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0,045</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8 %</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Soil moisture under crops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403.5 km² × 1.5 m × 25% vol.</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0,151</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26 %</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Soil moisture of meadows and reserves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343 km² × 1.5 m × 18% vol.</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0,093</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16 %</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Soil moisture of other lands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653.6 km² × 1.5 m × 8% vol.</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0,078</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13 %</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Atmospheric moisture</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3,612.8 km³ × 12 g/m³ × 0.65</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0,028</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5 %</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Revolving technical and household</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pipelines, tanks, cleaning</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0,020</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3 %</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Biomass water</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plants, animals, people</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0,008</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1 %</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TOTAL per cylinder</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0,586</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100 %</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TOTAL per station</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two cylinders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1,171</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w:t>
            </w:r>
          </w:p>
        </w:tc>
      </w:tr>
    </w:tbl>
    <w:p>
      <w:pPr>
        <w:pageBreakBefore w:val="0"/>
        <w:spacing w:after="80" w:line="269" w:lineRule="auto"/>
        <w:ind w:firstLine="397"/>
        <w:jc w:val="both"/>
      </w:pPr>
      <w:r>
        <w:rPr>
          <w:rFonts w:ascii="Times New Roman" w:hAnsi="Times New Roman" w:eastAsia="Times New Roman"/>
          <w:b w:val="0"/>
          <w:i w:val="0"/>
          <w:color w:val="20252B"/>
          <w:sz w:val="20"/>
        </w:rPr>
        <w:t>The total water balance is 1.171 billion tons per station; the rounded value in the summary tables is 1.17 billion tons.</w:t>
      </w:r>
    </w:p>
    <w:p>
      <w:pPr>
        <w:pageBreakBefore w:val="0"/>
        <w:spacing w:after="80" w:line="269" w:lineRule="auto"/>
        <w:ind w:firstLine="397"/>
        <w:jc w:val="both"/>
      </w:pPr>
      <w:r>
        <w:rPr>
          <w:rFonts w:ascii="Times New Roman" w:hAnsi="Times New Roman" w:eastAsia="Times New Roman"/>
          <w:b w:val="0"/>
          <w:i w:val="0"/>
          <w:color w:val="20252B"/>
          <w:sz w:val="20"/>
        </w:rPr>
        <w:t>For strength, the average load from water masses is taken to be 377.7 kg/m², or about 3.7 kPa; this value is included in the design load of the shell.</w:t>
      </w:r>
    </w:p>
    <w:p>
      <w:pPr>
        <w:pageBreakBefore w:val="0"/>
        <w:spacing w:after="80" w:line="269" w:lineRule="auto"/>
        <w:ind w:firstLine="709"/>
        <w:jc w:val="both"/>
      </w:pPr>
      <w:r>
        <w:rPr>
          <w:rFonts w:ascii="Times New Roman" w:hAnsi="Times New Roman" w:eastAsia="Times New Roman"/>
          <w:b w:val="0"/>
          <w:i w:val="0"/>
          <w:color w:val="20252B"/>
          <w:sz w:val="20"/>
        </w:rPr>
        <w:t>B.14. Frames: pitch, section and mass</w:t>
      </w:r>
    </w:p>
    <w:p>
      <w:pPr>
        <w:pageBreakBefore w:val="0"/>
        <w:spacing w:after="80" w:line="269" w:lineRule="auto"/>
        <w:ind w:firstLine="397"/>
        <w:jc w:val="both"/>
      </w:pPr>
      <w:r>
        <w:rPr>
          <w:rFonts w:ascii="Times New Roman" w:hAnsi="Times New Roman" w:eastAsia="Times New Roman"/>
          <w:b w:val="0"/>
          <w:i w:val="0"/>
          <w:color w:val="20252B"/>
          <w:sz w:val="20"/>
        </w:rPr>
        <w:t>The cross-section is selected according to the determining installation load. In zero gravity, there is no dead weight, and the ring is loaded by the reaction of the tugs when positioning the 33,575 t panel. At a pointing acceleration of 0.01 m/s², the force is 0.34 MN, and the bending moment in the ring loaded with a concentrated force is approximately 0.318 F R = 0.53 GN m. With an allowable stress of 889 MPa (yield strength 1,333 MPa with a margin of 1.5), the required moment of resistance is 0.60 m³.</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Frame section</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W, m³</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σ during installation, MPa</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Suitability</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3,000 × 1,500 mm, wall 30 mm</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0,22</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2 460</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Unfit</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5,000 × 2,500 mm, wall 40 mm</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0,81</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659</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Accepted</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10,000 × 5,000 mm, wall 50 mm</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4,09</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130</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Redundant</w:t>
            </w:r>
          </w:p>
        </w:tc>
      </w:tr>
    </w:tbl>
    <w:p>
      <w:pPr>
        <w:pageBreakBefore w:val="0"/>
        <w:spacing w:after="80" w:line="269" w:lineRule="auto"/>
        <w:ind w:firstLine="397"/>
        <w:jc w:val="both"/>
      </w:pPr>
      <w:r>
        <w:rPr>
          <w:rFonts w:ascii="Times New Roman" w:hAnsi="Times New Roman" w:eastAsia="Times New Roman"/>
          <w:b w:val="0"/>
          <w:i w:val="0"/>
          <w:color w:val="20252B"/>
          <w:sz w:val="20"/>
        </w:rPr>
        <w:t>A box-section frame of 5,000 × 2,500 mm with a wall of 40 mm is accepted: cross-sectional area 0.594 m², moment of inertia 2.02 m⁴, moment of resistance 0.81 m³, ring mass 146,391 t. The pitch is assigned equal to 100 m - at the junction of the panels, since the panel has the size 50 × 100 m and placed with the long side along the axis. The frame serves as a welding base for each transverse joint.</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Power set element</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Section</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Quantity</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Weight, million tons</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Package share</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Frames, pitch 100 m</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5,000 × 2,500 × 40 mm</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400 rings</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58,6</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0,41 %</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Stringers, 50 m circumference</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1,000 × 500 × 20 mm</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628 pcs. 40 km each</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11,5</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0,08 %</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TOTAL set per cylinder</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70,1</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0,50 %</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TOTAL recruitment per station</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140,1</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w:t>
            </w:r>
          </w:p>
        </w:tc>
      </w:tr>
    </w:tbl>
    <w:p>
      <w:pPr>
        <w:pageBreakBefore w:val="0"/>
        <w:spacing w:after="80" w:line="269" w:lineRule="auto"/>
        <w:ind w:firstLine="397"/>
        <w:jc w:val="both"/>
      </w:pPr>
      <w:r>
        <w:rPr>
          <w:rFonts w:ascii="Times New Roman" w:hAnsi="Times New Roman" w:eastAsia="Times New Roman"/>
          <w:b w:val="0"/>
          <w:i w:val="0"/>
          <w:color w:val="20252B"/>
          <w:sz w:val="20"/>
        </w:rPr>
        <w:t>The power set is 0.50% of the mass of the skin package and 0.29% of the mass of the station - a value that is completely acceptable. The edging of the cutouts is taken into account separately: the mouth of a shaft with a diameter of 30 m interrupts the linear force of the belt of 1,096 MN/m, and bypassing the cutout requires edging with a total area of 37 m², that is, 27,386 tons per cutout. With two mine mouths, 4 berths and 8 butt cuts, this is 0.38 million tons, or 0.003% of the package mass (clause B.17).</w:t>
      </w:r>
    </w:p>
    <w:p>
      <w:pPr>
        <w:pageBreakBefore w:val="0"/>
        <w:spacing w:after="80" w:line="269" w:lineRule="auto"/>
        <w:ind w:firstLine="397"/>
        <w:jc w:val="both"/>
      </w:pPr>
      <w:r>
        <w:rPr>
          <w:rFonts w:ascii="Times New Roman" w:hAnsi="Times New Roman" w:eastAsia="Times New Roman"/>
          <w:b w:val="0"/>
          <w:i w:val="0"/>
          <w:color w:val="20252B"/>
          <w:sz w:val="20"/>
        </w:rPr>
        <w:t>In operation, the shape of the cylinder is maintained by centrifugal tension, and frames are needed during installation and for local stability at the cutouts. The adopted cross-section of 5,000 × 2,500 mm with a wall of 40 mm gives 146,391 t per ring; at a step of 100 m, the force set is 70.1 million tons per cylinder.</w:t>
      </w:r>
    </w:p>
    <w:p>
      <w:pPr>
        <w:pageBreakBefore w:val="0"/>
        <w:spacing w:after="80" w:line="269" w:lineRule="auto"/>
        <w:ind w:firstLine="709"/>
        <w:jc w:val="both"/>
      </w:pPr>
      <w:r>
        <w:rPr>
          <w:rFonts w:ascii="Times New Roman" w:hAnsi="Times New Roman" w:eastAsia="Times New Roman"/>
          <w:b w:val="0"/>
          <w:i w:val="0"/>
          <w:color w:val="20252B"/>
          <w:sz w:val="20"/>
        </w:rPr>
        <w:t>B.15. Consolidated balance sheets for a population of 1,000,000 people</w:t>
      </w:r>
    </w:p>
    <w:p>
      <w:pPr>
        <w:pageBreakBefore w:val="0"/>
        <w:spacing w:after="80" w:line="269" w:lineRule="auto"/>
        <w:ind w:firstLine="397"/>
        <w:jc w:val="both"/>
      </w:pPr>
      <w:r>
        <w:rPr>
          <w:rFonts w:ascii="Times New Roman" w:hAnsi="Times New Roman" w:eastAsia="Times New Roman"/>
          <w:b w:val="0"/>
          <w:i w:val="0"/>
          <w:color w:val="20252B"/>
          <w:sz w:val="20"/>
        </w:rPr>
        <w:t>With a population of 1,000,000 people, respiration oxygen consumption is 306,600 tons/year, carbon dioxide emissions are 365,000 tons/year, domestic water consumption is 73.05 million m³/year, and household electrical power is 6 GW.</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Magnitude</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At 500 thousand</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At 1 million</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Nature of addiction</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Oxygen consumption</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153,300 t/year</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306,600 t/year</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Proportional</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Carbon dioxide release</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182,500 t/year</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365,000 t/year</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Proportional</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Multiplicity of O₂ production by crops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116</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58</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Inversely proportional</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CO₂ binding rate</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134</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67</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Inversely proportional</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Atmospheric oxygen supply</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11,000 years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5,500 years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Inversely proportional</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Increase in CO₂ when plants stop</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16.5 ppm/year</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31.9 ppm/year</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Proportional</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Time to 1,000 ppm threshold</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35 years old</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18 years old</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Inversely proportional</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Household electricity consumption</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 GW</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 GW</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Proportional</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Household share in the energy balance</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0,42 %</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0,83 %</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Proportional to power</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Population 500,000 people. on transport</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1.9 days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15.4 days per cylinder; 7.7 days per station</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1,350 people/hour per cylinder; 2,700 people/hour per station; no quarantine</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Power per inhabitant</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6,000 W</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6,000 W</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Doesn't depend</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Food energy requirement</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1.022 trillion kcal</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1.022 trillion kcal</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Already for 1 million</w:t>
            </w:r>
          </w:p>
        </w:tc>
      </w:tr>
    </w:tbl>
    <w:p>
      <w:pPr>
        <w:pageBreakBefore w:val="0"/>
        <w:spacing w:after="80" w:line="269" w:lineRule="auto"/>
        <w:ind w:firstLine="397"/>
        <w:jc w:val="both"/>
      </w:pPr>
      <w:r>
        <w:rPr>
          <w:rFonts w:ascii="Times New Roman" w:hAnsi="Times New Roman" w:eastAsia="Times New Roman"/>
          <w:b w:val="0"/>
          <w:i w:val="0"/>
          <w:color w:val="20252B"/>
          <w:sz w:val="20"/>
        </w:rPr>
        <w:t>When crop production stops, the threshold of 1,000 ppm for carbon dioxide is reached in about 18 years; Carbon dioxide sets the emergency limit, not oxygen.</w:t>
      </w:r>
    </w:p>
    <w:p>
      <w:pPr>
        <w:pageBreakBefore w:val="0"/>
        <w:spacing w:after="80" w:line="269" w:lineRule="auto"/>
        <w:ind w:firstLine="397"/>
        <w:jc w:val="both"/>
      </w:pPr>
      <w:r>
        <w:rPr>
          <w:rFonts w:ascii="Times New Roman" w:hAnsi="Times New Roman" w:eastAsia="Times New Roman"/>
          <w:b w:val="0"/>
          <w:i w:val="0"/>
          <w:color w:val="20252B"/>
          <w:sz w:val="20"/>
        </w:rPr>
        <w:t>The ratio of oxygen production by crops for a population of 1,000,000 people is about 58; Plants are grown primarily for food, and gas balance requires dynamic control.</w:t>
      </w:r>
    </w:p>
    <w:p>
      <w:pPr>
        <w:pageBreakBefore w:val="0"/>
        <w:spacing w:after="80" w:line="269" w:lineRule="auto"/>
        <w:ind w:firstLine="397"/>
        <w:jc w:val="both"/>
      </w:pPr>
      <w:r>
        <w:rPr>
          <w:rFonts w:ascii="Times New Roman" w:hAnsi="Times New Roman" w:eastAsia="Times New Roman"/>
          <w:b w:val="0"/>
          <w:i w:val="0"/>
          <w:color w:val="20252B"/>
          <w:sz w:val="20"/>
        </w:rPr>
        <w:t>The energy balance is redistributed as follows: axial light-thermal beams 503 GW (69.73%), heat pumps 96 GW (13.31%), holding the station at point L1 63.4 GW (8.79%), bearing units, motor-generators and their power electronics 2 GW (0.28%), reserve and transmission losses 31 GW (4.30%), life support 20 GW (2.77%), household, transport and industry 6 GW (0.83%). For magnetic bearings 2 GW - preliminary operating quota before separate electromagnetic and thermal calculations; the energy of acceleration and braking is taken into account as a separate transient mode. Total electrical capacity remains 721.4 GW.</w:t>
      </w:r>
    </w:p>
    <w:p>
      <w:pPr>
        <w:pageBreakBefore w:val="0"/>
        <w:spacing w:after="80" w:line="269" w:lineRule="auto"/>
        <w:ind w:firstLine="397"/>
        <w:jc w:val="both"/>
      </w:pPr>
      <w:r>
        <w:rPr>
          <w:rFonts w:ascii="Times New Roman" w:hAnsi="Times New Roman" w:eastAsia="Times New Roman"/>
          <w:b w:val="0"/>
          <w:i w:val="0"/>
          <w:color w:val="20252B"/>
          <w:sz w:val="20"/>
        </w:rPr>
        <w:t>The atmospheric mass is 3.77 billion tons per cylinder and 7.55 billion tons per station. The expiration times through the holes are calculated for this mass; Mechanical damage to the belt remains the main emergency risk.</w:t>
      </w:r>
    </w:p>
    <w:p>
      <w:pPr>
        <w:pageBreakBefore w:val="0"/>
        <w:spacing w:after="80" w:line="269" w:lineRule="auto"/>
        <w:ind w:firstLine="709"/>
        <w:jc w:val="both"/>
      </w:pPr>
      <w:r>
        <w:rPr>
          <w:rFonts w:ascii="Times New Roman" w:hAnsi="Times New Roman" w:eastAsia="Times New Roman"/>
          <w:b w:val="0"/>
          <w:i w:val="0"/>
          <w:color w:val="20252B"/>
          <w:sz w:val="20"/>
        </w:rPr>
        <w:t>B.16. Masses of the sheathing package: geometry and layer-by-layer calculation</w:t>
      </w:r>
    </w:p>
    <w:p>
      <w:pPr>
        <w:pageBreakBefore w:val="0"/>
        <w:spacing w:after="80" w:line="269" w:lineRule="auto"/>
        <w:ind w:firstLine="397"/>
      </w:pPr>
      <w:r>
        <w:rPr>
          <w:rFonts w:ascii="Times New Roman" w:hAnsi="Times New Roman" w:eastAsia="Times New Roman"/>
          <w:b w:val="0"/>
          <w:i w:val="0"/>
          <w:color w:val="20252B"/>
          <w:sz w:val="20"/>
        </w:rPr>
        <w:t>The total internal area of one cylinder is 1,550.1 km². Layer-by-layer calculation gives 13.354 billion tons of the casing package and 13.426 billion tons with the power package; for two cylinders - 26.85 billion tons. These values are used in the summary mass balance and resource assessment.</w:t>
      </w:r>
    </w:p>
    <w:p>
      <w:pPr>
        <w:pStyle w:val="Heading2"/>
        <w:keepNext/>
        <w:pageBreakBefore w:val="0"/>
        <w:spacing w:after="40"/>
        <w:ind/>
        <w:jc w:val="both"/>
      </w:pPr>
      <w:r>
        <w:rPr>
          <w:rFonts w:ascii="Times New Roman" w:hAnsi="Times New Roman" w:eastAsia="Times New Roman"/>
          <w:b w:val="0"/>
          <w:i w:val="0"/>
          <w:color w:val="20252B"/>
          <w:sz w:val="20"/>
        </w:rPr>
        <w:t>B.17. Number and location of transport shafts</w:t>
      </w:r>
    </w:p>
    <w:p>
      <w:pPr>
        <w:pageBreakBefore w:val="0"/>
        <w:spacing w:after="80" w:line="269" w:lineRule="auto"/>
        <w:ind w:firstLine="397"/>
        <w:jc w:val="both"/>
      </w:pPr>
      <w:r>
        <w:rPr>
          <w:rFonts w:ascii="Times New Roman" w:hAnsi="Times New Roman" w:eastAsia="Times New Roman"/>
          <w:b w:val="0"/>
          <w:i w:val="0"/>
          <w:color w:val="20252B"/>
          <w:sz w:val="20"/>
        </w:rPr>
        <w:t>Each cylinder has two transport shafts in the thickness of the front end dome; There are four shafts in total at the station. They are located on the front fixed frames and lead to the protected axial corridors A and B.</w:t>
      </w:r>
    </w:p>
    <w:p>
      <w:pPr>
        <w:pageBreakBefore w:val="0"/>
        <w:spacing w:after="80" w:line="269" w:lineRule="auto"/>
        <w:ind w:firstLine="397"/>
        <w:jc w:val="both"/>
      </w:pPr>
      <w:r>
        <w:rPr>
          <w:rFonts w:ascii="Times New Roman" w:hAnsi="Times New Roman" w:eastAsia="Times New Roman"/>
          <w:b w:val="0"/>
          <w:i w:val="0"/>
          <w:color w:val="20252B"/>
          <w:sz w:val="20"/>
        </w:rPr>
        <w:t>The basis of the solution is geometric and operational. The entrance to each cylinder is unique: the pier is placed on a separate fixed front frame, behind it there is a quarantine circuit, a bearing assembly and two independent corridors A and B. Inside each corridor, the ascending and descending channels are separated by a physical pressure wall. A shaft laid in a cylindrical part would begin in the axial volume and would require a separate path along the axis; the adopted scheme conducts a protected axial section inside the front hemisphere, after which it separates two corridors along mirror inclined routes.</w:t>
      </w:r>
    </w:p>
    <w:p>
      <w:pPr>
        <w:pageBreakBefore w:val="0"/>
        <w:spacing w:after="80" w:line="269" w:lineRule="auto"/>
        <w:ind w:firstLine="397"/>
        <w:jc w:val="both"/>
      </w:pPr>
      <w:r>
        <w:rPr>
          <w:rFonts w:ascii="Times New Roman" w:hAnsi="Times New Roman" w:eastAsia="Times New Roman"/>
          <w:b w:val="0"/>
          <w:i w:val="0"/>
          <w:color w:val="20252B"/>
          <w:sz w:val="20"/>
        </w:rPr>
        <w:t>The length of the route is divided into two structural parts. The protected axial section from the rotating interface to the separation point r = 150 m has about 2506 m. The logarithmic spiral from r = 150 m to r = 5000 m at θ = 10° has about 4923 m; taking into account rounding, the canonical length of the route is 7,429 m. Corridors A and B are mirrored and have the same length. The exact difference of 1–2 m is clarified after setting the coordinates of the mouths and does not affect the layout.</w:t>
      </w:r>
    </w:p>
    <w:p>
      <w:pPr>
        <w:pageBreakBefore w:val="0"/>
        <w:spacing w:after="80" w:line="269" w:lineRule="auto"/>
        <w:ind w:firstLine="397"/>
        <w:jc w:val="both"/>
      </w:pPr>
      <w:r>
        <w:rPr>
          <w:rFonts w:ascii="Times New Roman" w:hAnsi="Times New Roman" w:eastAsia="Times New Roman"/>
          <w:b w:val="0"/>
          <w:i w:val="0"/>
          <w:color w:val="20252B"/>
          <w:sz w:val="20"/>
        </w:rPr>
        <w:t>The travel time along the spiral part is obtained by integrating the law of constant inclination v(r) = and is about 15.2 minutes; the remaining time up to the standard 17.8 minutes is accounted for by the axial section, synchronization of the rotor chamber, acceleration, braking and intersectional speed limits. The speed at the living surface is 19.5 m/s, at the separation point it is about 0.59 m/s, after which the cabin smoothly passes into the rotary receiving chamber.</w:t>
      </w:r>
    </w:p>
    <w:p>
      <w:pPr>
        <w:pageBreakBefore w:val="0"/>
        <w:spacing w:after="80" w:line="269" w:lineRule="auto"/>
        <w:ind w:firstLine="397"/>
        <w:jc w:val="both"/>
      </w:pPr>
      <w:r>
        <w:rPr>
          <w:rFonts w:ascii="Times New Roman" w:hAnsi="Times New Roman" w:eastAsia="Times New Roman"/>
          <w:b w:val="0"/>
          <w:i w:val="0"/>
          <w:color w:val="20252B"/>
          <w:sz w:val="20"/>
        </w:rPr>
        <w:t>Bandwidth. With a cabin for 100 people and two pairs of cabins per corridor, the departure interval is 17.8 minutes, which gives about 675 people per hour per corridor and about 1,350 people per hour per cylinder. When withdrawing one corridor, the second saves about 338 people per hour. The complete transport system of the station's four corridors provides approximately 2,700 people per hour; populating 500,000 people at full operation takes about 7.7 days, one cylinder takes about 15.4 days, and one corridor takes about 31 days. The actual period is still determined by quarantine and remains about ten years.</w:t>
      </w:r>
    </w:p>
    <w:p>
      <w:pPr>
        <w:pageBreakBefore w:val="0"/>
        <w:spacing w:after="80" w:line="269" w:lineRule="auto"/>
        <w:ind w:firstLine="397"/>
        <w:jc w:val="both"/>
      </w:pPr>
      <w:r>
        <w:rPr>
          <w:rFonts w:ascii="Times New Roman" w:hAnsi="Times New Roman" w:eastAsia="Times New Roman"/>
          <w:b w:val="0"/>
          <w:i w:val="0"/>
          <w:color w:val="20252B"/>
          <w:sz w:val="20"/>
        </w:rPr>
        <w:t>It is important that this reduction is not a limitation of the project. Even a conservative transport estimate below sanitary capacity is not a bottleneck for ten-year occupancy. The quarantine circuit and its 40-day endurance determine the real speed of receiving people, and transport provides a reserve and the ability to repair one corridor without completely losing traffic.</w:t>
      </w:r>
    </w:p>
    <w:p>
      <w:pPr>
        <w:pageBreakBefore w:val="0"/>
        <w:spacing w:after="80" w:line="269" w:lineRule="auto"/>
        <w:ind w:firstLine="397"/>
        <w:jc w:val="both"/>
      </w:pPr>
      <w:r>
        <w:rPr>
          <w:rFonts w:ascii="Times New Roman" w:hAnsi="Times New Roman" w:eastAsia="Times New Roman"/>
          <w:b w:val="0"/>
          <w:i w:val="0"/>
          <w:color w:val="20252B"/>
          <w:sz w:val="20"/>
        </w:rPr>
        <w:t>Associated gain in mass. One shaft mouth with a diameter of 30 m interrupts the linear force of the belt and requires edging weighing 27,386 tons. In the adopted scheme, four transport mouths at the station provide about 0.11 million tons of edging itself; Taking into account the berth and butt cuts, the estimated mass of the local edging is about 0.44 million tons per station. At the same time, the number of places where stress is concentrated in the power belt decreases - forty large cutouts were an independent risk factor.</w:t>
      </w:r>
    </w:p>
    <w:p>
      <w:pPr>
        <w:pageBreakBefore w:val="0"/>
        <w:spacing w:after="80" w:line="269" w:lineRule="auto"/>
        <w:ind w:firstLine="397"/>
        <w:jc w:val="both"/>
      </w:pPr>
      <w:r>
        <w:rPr>
          <w:rFonts w:ascii="Times New Roman" w:hAnsi="Times New Roman" w:eastAsia="Times New Roman"/>
          <w:b w:val="0"/>
          <w:i w:val="0"/>
          <w:color w:val="20252B"/>
          <w:sz w:val="20"/>
        </w:rPr>
        <w:t>Reservation. Two corridors of each cylinder provide mutual redundancy: when one is taken out for maintenance, the second one saves about 338 people per hour. In each corridor, a separate mechanical funicular-evacuation rail duplicates the drive of the main cabin; Complete independence from damage to the entire shaft is ensured by separated corridors A and B.</w:t>
      </w:r>
    </w:p>
    <w:p/>
    <w:p>
      <w:pPr>
        <w:spacing w:before="200"/>
        <w:jc w:val="center"/>
      </w:pPr>
      <w:r>
        <w:rPr>
          <w:b/>
          <w:color w:val="2E5496"/>
          <w:sz w:val="17"/>
        </w:rPr>
        <w:t>СПИСОК ЛИТЕРАТУРЫ РАЗДЕЛА / REFERENCES OF THIS SECTION</w:t>
      </w:r>
    </w:p>
    <w:p>
      <w:r>
        <w:rPr>
          <w:b/>
          <w:sz w:val="18"/>
        </w:rPr>
        <w:t>Кроме того, раздел опирается на собственные допущения публикации:</w:t>
      </w:r>
    </w:p>
    <w:p>
      <w:pPr>
        <w:ind w:left="340" w:hanging="340"/>
      </w:pPr>
      <w:r>
        <w:rPr>
          <w:sz w:val="18"/>
        </w:rPr>
        <w:t>· Геометрия и вращение: радиус, длина, угловая скорость и искусственная гравитация представлены аналитическими соотношениями.</w:t>
      </w:r>
    </w:p>
    <w:p>
      <w:pPr>
        <w:ind w:left="340" w:hanging="340"/>
      </w:pPr>
      <w:r>
        <w:rPr>
          <w:sz w:val="18"/>
        </w:rPr>
        <w:t>· Geometry and rotation: radius, length, angular velocity and artificial gravity are given by analytical relations.</w:t>
      </w:r>
    </w:p>
    <w:p>
      <w:pPr>
        <w:ind w:left="340" w:hanging="340"/>
      </w:pPr>
      <w:r>
        <w:rPr>
          <w:sz w:val="18"/>
        </w:rPr>
        <w:t>· Несущая оболочка: напряжения и массовые оценки являются предварительными оценками первого уровня.</w:t>
      </w:r>
    </w:p>
    <w:p>
      <w:pPr>
        <w:ind w:left="340" w:hanging="340"/>
      </w:pPr>
      <w:r>
        <w:rPr>
          <w:sz w:val="18"/>
        </w:rPr>
        <w:t>· Load-bearing shell: stresses and mass estimates are first-level preliminary estimates.</w:t>
      </w:r>
    </w:p>
    <w:p>
      <w:pPr>
        <w:ind w:left="340" w:hanging="340"/>
      </w:pPr>
      <w:r>
        <w:rPr>
          <w:sz w:val="18"/>
        </w:rPr>
        <w:t>· Энергия и тепло: электрический, тепловой и радиаторный балансы являются стационарными оценками.</w:t>
      </w:r>
    </w:p>
    <w:p>
      <w:pPr>
        <w:ind w:left="340" w:hanging="340"/>
      </w:pPr>
      <w:r>
        <w:rPr>
          <w:sz w:val="18"/>
        </w:rPr>
        <w:t>· Energy and heat: electrical, thermal and radiator balances are steady-state estimates.</w:t>
      </w:r>
    </w:p>
    <w:p>
      <w:pPr>
        <w:ind w:left="340" w:hanging="340"/>
      </w:pPr>
      <w:r>
        <w:rPr>
          <w:sz w:val="18"/>
        </w:rPr>
        <w:t>· Биосфера: балансы газов, воды и продовольствия являются системной моделью и набором допущений.</w:t>
      </w:r>
    </w:p>
    <w:p>
      <w:pPr>
        <w:ind w:left="340" w:hanging="340"/>
      </w:pPr>
      <w:r>
        <w:rPr>
          <w:sz w:val="18"/>
        </w:rPr>
        <w:t>· Biosphere: gas, water and food balances are a system model and a set of assumptions.</w:t>
      </w:r>
    </w:p>
    <w:p>
      <w:pPr>
        <w:ind w:left="340" w:hanging="340"/>
      </w:pPr>
      <w:r>
        <w:rPr>
          <w:sz w:val="18"/>
        </w:rPr>
        <w:t>· Транспорт и стыковка: осевые рамы, цапфы, подшипниковые корпуса и переходные шахты являются концептуальной архитектурой.</w:t>
      </w:r>
    </w:p>
    <w:p>
      <w:pPr>
        <w:ind w:left="340" w:hanging="340"/>
      </w:pPr>
      <w:r>
        <w:rPr>
          <w:sz w:val="18"/>
        </w:rPr>
        <w:t>· Transport and docking: axial frames, trunnions, bearing housings and transition shafts are conceptual architecture.</w:t>
      </w:r>
    </w:p>
    <w:p>
      <w:pPr>
        <w:ind w:left="340" w:hanging="340"/>
      </w:pPr>
      <w:r>
        <w:rPr>
          <w:sz w:val="18"/>
        </w:rPr>
        <w:t>· Орбита L1: размещение в окрестности L1 и расход рабочего тела являются миссионными оценками.</w:t>
      </w:r>
    </w:p>
    <w:p>
      <w:pPr>
        <w:ind w:left="340" w:hanging="340"/>
      </w:pPr>
      <w:r>
        <w:rPr>
          <w:sz w:val="18"/>
        </w:rPr>
        <w:t>· L1 orbit: placement near L1 and propellant expenditure are mission-level estimates.</w:t>
      </w:r>
    </w:p>
    <w:p>
      <w:pPr>
        <w:ind w:left="340" w:hanging="340"/>
      </w:pPr>
      <w:r>
        <w:rPr>
          <w:sz w:val="18"/>
        </w:rPr>
        <w:t>· Правовые акты: Договор о принципах деятельности государств по исследованию и использованию космического пространства, 1967 г., ст. II, VI, VIII.</w:t>
      </w:r>
    </w:p>
    <w:p>
      <w:pPr>
        <w:ind w:left="340" w:hanging="340"/>
      </w:pPr>
      <w:r>
        <w:rPr>
          <w:sz w:val="18"/>
        </w:rPr>
        <w:t>· Legal acts: Outer Space Treaty, 1967, Articles II, VI, VIII.</w:t>
      </w:r>
    </w:p>
    <w:p>
      <w:pPr>
        <w:ind w:left="340" w:hanging="340"/>
      </w:pPr>
      <w:r>
        <w:rPr>
          <w:sz w:val="18"/>
        </w:rPr>
        <w:t>· Правовой статус: разделы о праве и управлении описывают сценарии и ограничения.</w:t>
      </w:r>
    </w:p>
    <w:p>
      <w:pPr>
        <w:ind w:left="340" w:hanging="340"/>
      </w:pPr>
      <w:r>
        <w:rPr>
          <w:sz w:val="18"/>
        </w:rPr>
        <w:t>· Legal status: the law and governance sections describe scenarios and constraints.</w:t>
      </w:r>
    </w:p>
    <w:p>
      <w:pPr>
        <w:ind w:left="340" w:hanging="340"/>
      </w:pPr>
      <w:r>
        <w:rPr>
          <w:sz w:val="18"/>
        </w:rPr>
        <w:t>· Данные о ресурсных телах: астероид (6178) 1986 DA, тип M, поперечник около 3 км.</w:t>
      </w:r>
    </w:p>
    <w:p>
      <w:pPr>
        <w:ind w:left="340" w:hanging="340"/>
      </w:pPr>
      <w:r>
        <w:rPr>
          <w:sz w:val="18"/>
        </w:rPr>
        <w:t>· Resource-body data: asteroid (6178) 1986 DA, type M, diameter about 3 km.</w:t>
      </w:r>
    </w:p>
    <w:p>
      <w:pPr>
        <w:ind w:left="340" w:hanging="340"/>
      </w:pPr>
      <w:r>
        <w:rPr>
          <w:sz w:val="18"/>
        </w:rPr>
        <w:t>· Технологические пределы: мировой рекорд стальной отливки — 270 т металла, готовая деталь 220 т.</w:t>
      </w:r>
    </w:p>
    <w:p>
      <w:pPr>
        <w:ind w:left="340" w:hanging="340"/>
      </w:pPr>
      <w:r>
        <w:rPr>
          <w:sz w:val="18"/>
        </w:rPr>
        <w:t>· Technological limits: world-record steel casting — 270 t of metal, 220 t component.</w:t>
      </w:r>
    </w:p>
    <w:p>
      <w:pPr>
        <w:ind w:left="340" w:hanging="340"/>
      </w:pPr>
      <w:r>
        <w:rPr>
          <w:sz w:val="18"/>
        </w:rPr>
        <w:t>· Эксперимент «Биосфера-2», 1991–1993 гг.: падение объёмной доли кислорода с 20,9 до 14,2 % за шестнадцать месяцев.</w:t>
      </w:r>
    </w:p>
    <w:p>
      <w:pPr>
        <w:ind w:left="340" w:hanging="340"/>
      </w:pPr>
      <w:r>
        <w:rPr>
          <w:sz w:val="18"/>
        </w:rPr>
        <w:t>· Biosphere 2 experiment, 1991–1993: oxygen volume fraction fell from 20.9 % to 14.2 % over sixteen months.</w:t>
      </w:r>
    </w:p>
    <w:p>
      <w:pPr>
        <w:ind w:left="340" w:hanging="340"/>
      </w:pPr>
      <w:r>
        <w:rPr>
          <w:sz w:val="18"/>
        </w:rPr>
        <w:t>· Нормативные величины: нормы потребления, санитарные пороги по кислороду и углекислому газу, нормы озеленения.</w:t>
      </w:r>
    </w:p>
    <w:p>
      <w:pPr>
        <w:ind w:left="340" w:hanging="340"/>
      </w:pPr>
      <w:r>
        <w:rPr>
          <w:sz w:val="18"/>
        </w:rPr>
        <w:t>· Regulatory values: consumption norms, health thresholds for oxygen and carbon dioxide, greening norms.</w:t>
      </w:r>
    </w:p>
    <w:sectPr w:rsidR="00FC693F" w:rsidRPr="0006063C" w:rsidSect="00034616">
      <w:pgSz w:w="11906" w:h="16838"/>
      <w:pgMar w:top="1134" w:right="964"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1F38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