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Приложение Г / Appendix Г</w:t>
      </w:r>
    </w:p>
    <w:p>
      <w:pPr>
        <w:jc w:val="center"/>
      </w:pPr>
      <w:r>
        <w:rPr>
          <w:b/>
          <w:color w:val="1F3864"/>
          <w:sz w:val="26"/>
        </w:rPr>
        <w:t>ПРИЛОЖЕНИЕ Г. ИСТОЧНИКИ</w:t>
      </w:r>
    </w:p>
    <w:p>
      <w:pPr>
        <w:jc w:val="center"/>
      </w:pPr>
      <w:r>
        <w:rPr>
          <w:b/>
          <w:color w:val="1F3864"/>
          <w:sz w:val="26"/>
        </w:rPr>
        <w:t>APPENDIX D. SOURCES</w:t>
      </w:r>
    </w:p>
    <w:p>
      <w:pPr>
        <w:jc w:val="center"/>
      </w:pPr>
      <w:r>
        <w:rPr>
          <w:i/>
          <w:sz w:val="17"/>
        </w:rPr>
        <w:t>Редакция 8 · 31 октября 2026 г.  ·  документ 39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ПРИЛОЖЕНИЕ Г. ИСТОЧНИКИ</w:t>
      </w:r>
    </w:p>
    <w:p>
      <w:pPr>
        <w:pageBreakBefore w:val="0"/>
        <w:spacing w:after="80" w:line="269" w:lineRule="auto"/>
        <w:ind w:firstLine="397"/>
        <w:jc w:val="both"/>
      </w:pPr>
      <w:r>
        <w:rPr>
          <w:rFonts w:ascii="Times New Roman" w:hAnsi="Times New Roman" w:eastAsia="Times New Roman"/>
          <w:b w:val="0"/>
          <w:i w:val="0"/>
          <w:color w:val="20252B"/>
          <w:sz w:val="20"/>
        </w:rPr>
        <w:t>Настоящий документ является расчётной работой: подавляющая часть его содержания получена вычислением из принятых исходных величин, а не заимствована. Внешние источники привлекались там, где требовались справочные данные о телах Солнечной системы, о технологических пределах металлургии и о действующем праве. Ниже перечислено привлечённое.</w:t>
      </w:r>
    </w:p>
    <w:p>
      <w:pPr>
        <w:pageBreakBefore w:val="0"/>
        <w:spacing w:after="80" w:line="269" w:lineRule="auto"/>
        <w:ind w:firstLine="397"/>
        <w:jc w:val="both"/>
      </w:pPr>
      <w:r>
        <w:rPr>
          <w:rFonts w:ascii="Times New Roman" w:hAnsi="Times New Roman" w:eastAsia="Times New Roman"/>
          <w:b w:val="0"/>
          <w:i w:val="0"/>
          <w:color w:val="20252B"/>
          <w:sz w:val="20"/>
        </w:rPr>
        <w:t>Правовые акты. Договор о принципах деятельности государств по исследованию и использованию космического пространства, включая Луну и другие небесные тела, 1967 г. (статьи II, VI, VIII). Закон Российской Федерации от 20 августа 1993 г. № 5663-I «О космической деятельности». Гражданский кодекс Российской Федерации, статьи 26 и 27. Законодательные акты США (Commercial Space Launch Competitiveness Act, 2015) и Люксембурга (Loi sur l’exploration et l’utilisation des ressources de l’espace, 2017); Соглашения Артемиды, 2020 г.</w:t>
      </w:r>
    </w:p>
    <w:p>
      <w:pPr>
        <w:pageBreakBefore w:val="0"/>
        <w:spacing w:after="80" w:line="269" w:lineRule="auto"/>
        <w:ind w:firstLine="397"/>
        <w:jc w:val="both"/>
      </w:pPr>
      <w:r>
        <w:rPr>
          <w:rFonts w:ascii="Times New Roman" w:hAnsi="Times New Roman" w:eastAsia="Times New Roman"/>
          <w:b w:val="0"/>
          <w:i w:val="0"/>
          <w:color w:val="20252B"/>
          <w:sz w:val="20"/>
        </w:rPr>
        <w:t>Данные о ресурсных телах. Астероид (6178) 1986 DA: тип M, поперечник около 3 км, большая полуось 2,8216 а. е., эксцентриситет 0,5818, наклонение 4,31°, период 4,7 года. Астероид (24) Themis: 3,149 а. е., 0,1165, 0,74°, поперечник 198 км, тип C/B, обнаружен иней водяного льда. Астероид (10) Hygiea: 3,1415 а. е., 0,1125, 3,83°, поперечник 434 км, тип C, гидратированные и аммонийные силикаты как источник азота. Источники: базы данных малых тел (spacereference.org, en.wikipedia.org), по состоянию на сентябрь 2026 г.</w:t>
      </w:r>
    </w:p>
    <w:p>
      <w:pPr>
        <w:pageBreakBefore w:val="0"/>
        <w:spacing w:after="80" w:line="269" w:lineRule="auto"/>
        <w:ind w:firstLine="397"/>
        <w:jc w:val="both"/>
      </w:pPr>
      <w:r>
        <w:rPr>
          <w:rFonts w:ascii="Times New Roman" w:hAnsi="Times New Roman" w:eastAsia="Times New Roman"/>
          <w:b w:val="0"/>
          <w:i w:val="0"/>
          <w:color w:val="20252B"/>
          <w:sz w:val="20"/>
        </w:rPr>
        <w:t>Технологические пределы. Мировой рекорд стальной отливки: 270 т металла, готовая деталь 9,78 × 3,3 × 3,1 м массой 220 т, охлаждение в форме до 300 °C — четыре недели (Siempelkamp, 2009). Освоенная отливка 115 т с базой до 200 т (Уральская Сталь, 2026). Предел толстолистового проката: ширина 5,3–5,5 м (стан 5600 мм), длина до 35–40 м, толщина до 150–300 мм. Корпус стана 5600 отлит из 860 т стали за одну семиковшовую заливку.</w:t>
      </w:r>
    </w:p>
    <w:p>
      <w:pPr>
        <w:pageBreakBefore w:val="0"/>
        <w:spacing w:after="80" w:line="269" w:lineRule="auto"/>
        <w:ind w:firstLine="397"/>
        <w:jc w:val="both"/>
      </w:pPr>
      <w:r>
        <w:rPr>
          <w:rFonts w:ascii="Times New Roman" w:hAnsi="Times New Roman" w:eastAsia="Times New Roman"/>
          <w:b w:val="0"/>
          <w:i w:val="0"/>
          <w:color w:val="20252B"/>
          <w:sz w:val="20"/>
        </w:rPr>
        <w:t>Эксперимент «Биосфера-2», 1991–1993 гг.: падение объёмной доли кислорода с 20,9 до 14,2 % за шестнадцать месяцев; причины — почвенное дыхание и карбонизация бетона. Использован в гл. 16 как единственный натурный прецедент длительного замкнутого биологического цикла.</w:t>
      </w:r>
    </w:p>
    <w:p>
      <w:pPr>
        <w:pageBreakBefore w:val="0"/>
        <w:spacing w:after="80" w:line="269" w:lineRule="auto"/>
        <w:ind w:firstLine="397"/>
        <w:jc w:val="both"/>
      </w:pPr>
      <w:r>
        <w:rPr>
          <w:rFonts w:ascii="Times New Roman" w:hAnsi="Times New Roman" w:eastAsia="Times New Roman"/>
          <w:b w:val="0"/>
          <w:i w:val="0"/>
          <w:color w:val="20252B"/>
          <w:sz w:val="20"/>
        </w:rPr>
        <w:t>Нормативные величины (нормы потребления, санитарные пороги по кислороду и углекислому газу, нормы озеленения Всемирной организации здравоохранения, удельные показатели почвенной биоты и энергоёмкости металлургии) приняты по общесправочным данным; их значения и способ применения указаны непосредственно в местах использования и продублированы в приложении Б.</w:t>
      </w:r>
    </w:p>
    <w:p>
      <w:pPr>
        <w:spacing w:after="80"/>
      </w:pPr>
      <w:r>
        <w:rPr>
          <w:rFonts w:ascii="Times New Roman" w:hAnsi="Times New Roman"/>
          <w:sz w:val="19"/>
        </w:rPr>
        <w:t>Правовой статус. Разделы о праве и управлении описывают сценарии и ограничения. Станция, астероид и поселение не становятся автоматически государством или территорией; регистрация, оператор, перевозчик и юрисдикция должны быть определены отдельно.</w:t>
      </w:r>
    </w:p>
    <w:p>
      <w:pPr>
        <w:spacing w:after="80"/>
      </w:pPr>
      <w:r>
        <w:rPr>
          <w:rFonts w:ascii="Times New Roman" w:hAnsi="Times New Roman"/>
          <w:sz w:val="19"/>
        </w:rPr>
        <w:t>Орбита L1. Размещение в окрестности L1 и расход рабочего тела являются миссионными оценками. Тип орбиты, коррекции, навигация, связь, солнечное давление и требования к резервированию должны быть подтверждены отдельной баллистической моделью.</w:t>
      </w:r>
    </w:p>
    <w:p>
      <w:pPr>
        <w:spacing w:after="80"/>
      </w:pPr>
      <w:r>
        <w:rPr>
          <w:rFonts w:ascii="Times New Roman" w:hAnsi="Times New Roman"/>
          <w:sz w:val="19"/>
        </w:rPr>
        <w:t>Транспорт и стыковка. Осевые рамы, цапфы, подшипниковые корпуса и переходные шахты являются концептуальной архитектурой. Герметизация, динамика, аварийные ловители, ресурс подшипников и передача усилий требуют стендовых и натурных испытаний.</w:t>
      </w:r>
    </w:p>
    <w:p>
      <w:pPr>
        <w:spacing w:after="80"/>
      </w:pPr>
      <w:r>
        <w:rPr>
          <w:rFonts w:ascii="Times New Roman" w:hAnsi="Times New Roman"/>
          <w:sz w:val="19"/>
        </w:rPr>
        <w:t>Биосфера. Балансы газов, воды и продовольствия являются системной моделью и набором допущений. Долговременная устойчивость почвы, микробиома, генетического разнообразия, демографии и санитарного контура требует экспериментов и многолетней валидации.</w:t>
      </w:r>
    </w:p>
    <w:p>
      <w:pPr>
        <w:spacing w:after="80"/>
      </w:pPr>
      <w:r>
        <w:rPr>
          <w:rFonts w:ascii="Times New Roman" w:hAnsi="Times New Roman"/>
          <w:sz w:val="19"/>
        </w:rPr>
        <w:t>Энергия и тепло. Электрический, тепловой и радиаторный балансы являются стационарными оценками. Переходные режимы, отказ оборудования, пуск, остановка и частичная потеря теплоотвода требуют отдельной динамической модели.</w:t>
      </w:r>
    </w:p>
    <w:p>
      <w:pPr>
        <w:spacing w:after="80"/>
      </w:pPr>
      <w:r>
        <w:rPr>
          <w:rFonts w:ascii="Times New Roman" w:hAnsi="Times New Roman"/>
          <w:sz w:val="19"/>
        </w:rPr>
        <w:t>Несущая оболочка. Напряжения и массовые оценки являются предварительными оценками первого уровня. Локальная устойчивость, стыки, сварка, усталость, трещиностойкость, температурные градиенты и коррозия требуют расчёта конечных элементов и испытаний образцов.</w:t>
      </w:r>
    </w:p>
    <w:p>
      <w:pPr>
        <w:spacing w:after="80"/>
      </w:pPr>
      <w:r>
        <w:rPr>
          <w:rFonts w:ascii="Times New Roman" w:hAnsi="Times New Roman"/>
          <w:sz w:val="19"/>
        </w:rPr>
        <w:t>Геометрия и вращение. Радиус, длина, угловая скорость и искусственная гравитация представлены как аналитические расчётные оценки на принятых исходных данных. Для рабочего проекта необходимы согласованная динамическая модель и проверка режимов балансировки.</w:t>
      </w:r>
    </w:p>
    <w:p>
      <w:pPr>
        <w:spacing w:after="80"/>
      </w:pPr>
      <w:r>
        <w:rPr>
          <w:rFonts w:ascii="Times New Roman" w:hAnsi="Times New Roman"/>
          <w:sz w:val="19"/>
        </w:rPr>
        <w:t>Матрица ниже фиксирует границы интерпретации результатов и не заменяет проектную документацию, испытания или сертификацию.</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APPENDIX D. SOURCES</w:t>
      </w:r>
    </w:p>
    <w:p>
      <w:pPr>
        <w:pageBreakBefore w:val="0"/>
        <w:spacing w:after="80" w:line="269" w:lineRule="auto"/>
        <w:ind w:firstLine="397"/>
        <w:jc w:val="both"/>
      </w:pPr>
      <w:r>
        <w:rPr>
          <w:rFonts w:ascii="Times New Roman" w:hAnsi="Times New Roman" w:eastAsia="Times New Roman"/>
          <w:b w:val="0"/>
          <w:i w:val="0"/>
          <w:color w:val="20252B"/>
          <w:sz w:val="20"/>
        </w:rPr>
        <w:t>This document is a work of calculation: the vast majority of its content was obtained by calculation from accepted initial values, and was not borrowed. External sources were involved where reference data was required about the bodies of the Solar System, about the technological limits of metallurgy and about the current law. Listed below are those involved.</w:t>
      </w:r>
    </w:p>
    <w:p>
      <w:pPr>
        <w:pageBreakBefore w:val="0"/>
        <w:spacing w:after="80" w:line="269" w:lineRule="auto"/>
        <w:ind w:firstLine="397"/>
        <w:jc w:val="both"/>
      </w:pPr>
      <w:r>
        <w:rPr>
          <w:rFonts w:ascii="Times New Roman" w:hAnsi="Times New Roman" w:eastAsia="Times New Roman"/>
          <w:b w:val="0"/>
          <w:i w:val="0"/>
          <w:color w:val="20252B"/>
          <w:sz w:val="20"/>
        </w:rPr>
        <w:t>Legal acts. Treaty on Principles for the Activities of States in the Exploration and Use of Outer Space, Including the Moon and Other Celestial Bodies, 1967 (Articles II, VI, VIII). Law of the Russian Federation of August 20, 1993 No. 5663-I “On space activities.” Civil Code of the Russian Federation, Articles 26 and 27. Legislative acts of the USA (Commercial Space Launch Competitiveness Act, 2015) and Luxembourg (Loi sur l’exploration et l’utilisation des ressources de l’espace, 2017); Artemis Accords, 2020</w:t>
      </w:r>
    </w:p>
    <w:p>
      <w:pPr>
        <w:pageBreakBefore w:val="0"/>
        <w:spacing w:after="80" w:line="269" w:lineRule="auto"/>
        <w:ind w:firstLine="397"/>
        <w:jc w:val="both"/>
      </w:pPr>
      <w:r>
        <w:rPr>
          <w:rFonts w:ascii="Times New Roman" w:hAnsi="Times New Roman" w:eastAsia="Times New Roman"/>
          <w:b w:val="0"/>
          <w:i w:val="0"/>
          <w:color w:val="20252B"/>
          <w:sz w:val="20"/>
        </w:rPr>
        <w:t>Data about resource bodies. Asteroid (6178) 1986 DA: type M, diameter about 3 km, semi-major axis 2.8216 AU. e., eccentricity 0.5818, inclination 4.31°, period 4.7 years. Asteroid (24) Themis: 3.149 a. e., 0.1165, 0.74°, diameter 198 km, type C/B, water ice frost detected. Asteroid (10) Hygiea: 3.1415 AU. e., 0.1125, 3.83°, diameter 434 km, type C, hydrated and ammonium silicates as a source of nitrogen. Sources: Small body databases (spacereference.org, en.wikipedia.org), accessed September 2026.</w:t>
      </w:r>
    </w:p>
    <w:p>
      <w:pPr>
        <w:pageBreakBefore w:val="0"/>
        <w:spacing w:after="80" w:line="269" w:lineRule="auto"/>
        <w:ind w:firstLine="397"/>
        <w:jc w:val="both"/>
      </w:pPr>
      <w:r>
        <w:rPr>
          <w:rFonts w:ascii="Times New Roman" w:hAnsi="Times New Roman" w:eastAsia="Times New Roman"/>
          <w:b w:val="0"/>
          <w:i w:val="0"/>
          <w:color w:val="20252B"/>
          <w:sz w:val="20"/>
        </w:rPr>
        <w:t>Technological limits. World record for steel casting: 270 tons of metal, finished part 9.78 × 3.3 × 3.1 m, weighing 220 tons, cooling in the mold to 300 °C - four weeks (Siempelkamp, 2009). Mastered casting of 115 tons with a base of up to 200 tons (Ural Steel, 2026). Limit of plates: width 5.3–5.5 m (mill 5600 mm), length up to 35–40 m, thickness up to 150–300 mm. The body of the 5600 mill is cast from 860 tons of steel in one seven-bucket pour.</w:t>
      </w:r>
    </w:p>
    <w:p>
      <w:pPr>
        <w:pageBreakBefore w:val="0"/>
        <w:spacing w:after="80" w:line="269" w:lineRule="auto"/>
        <w:ind w:firstLine="397"/>
        <w:jc w:val="both"/>
      </w:pPr>
      <w:r>
        <w:rPr>
          <w:rFonts w:ascii="Times New Roman" w:hAnsi="Times New Roman" w:eastAsia="Times New Roman"/>
          <w:b w:val="0"/>
          <w:i w:val="0"/>
          <w:color w:val="20252B"/>
          <w:sz w:val="20"/>
        </w:rPr>
        <w:t>Experiment “Biosphere-2”, 1991–1993: drop in the volume fraction of oxygen from 20.9 to 14.2% over sixteen months; The reasons are soil respiration and carbonation of concrete. Used in ch. 16 as the only natural precedent for a long closed biological cycle.</w:t>
      </w:r>
    </w:p>
    <w:p>
      <w:pPr>
        <w:pageBreakBefore w:val="0"/>
        <w:spacing w:after="80" w:line="269" w:lineRule="auto"/>
        <w:ind w:firstLine="397"/>
        <w:jc w:val="both"/>
      </w:pPr>
      <w:r>
        <w:rPr>
          <w:rFonts w:ascii="Times New Roman" w:hAnsi="Times New Roman" w:eastAsia="Times New Roman"/>
          <w:b w:val="0"/>
          <w:i w:val="0"/>
          <w:color w:val="20252B"/>
          <w:sz w:val="20"/>
        </w:rPr>
        <w:t>Standard values (consumption standards, sanitary thresholds for oxygen and carbon dioxide, landscaping standards of the World Health Organization, specific indicators of soil biota and energy intensity of metallurgy) are taken according to general reference data; their meanings and method of use are indicated directly at the point of use and are duplicated in Appendix B.</w:t>
      </w:r>
    </w:p>
    <w:p>
      <w:pPr>
        <w:spacing w:after="80"/>
      </w:pPr>
      <w:r>
        <w:rPr>
          <w:rFonts w:ascii="Times New Roman" w:hAnsi="Times New Roman"/>
          <w:sz w:val="19"/>
        </w:rPr>
        <w:t>Legal status. The legal and governance sections describe scenarios and constraints. A station, asteroid or settlement does not automatically become a state or territory; registration, operator, carrier and jurisdiction must be defined separately.</w:t>
      </w:r>
    </w:p>
    <w:p>
      <w:pPr>
        <w:spacing w:after="80"/>
      </w:pPr>
      <w:r>
        <w:rPr>
          <w:rFonts w:ascii="Times New Roman" w:hAnsi="Times New Roman"/>
          <w:sz w:val="19"/>
        </w:rPr>
        <w:t>L1 orbit. Placement near L1 and propellant consumption are mission-level estimates. Orbit type, corrections, navigation, communications, solar pressure and redundancy requirements require a dedicated astrodynamics model.</w:t>
      </w:r>
    </w:p>
    <w:p>
      <w:pPr>
        <w:spacing w:after="80"/>
      </w:pPr>
      <w:r>
        <w:rPr>
          <w:rFonts w:ascii="Times New Roman" w:hAnsi="Times New Roman"/>
          <w:sz w:val="19"/>
        </w:rPr>
        <w:t>Transport and docking. Axial frames, journals, bearing housings and transfer shafts are a conceptual architecture. Sealing, dynamics, emergency catches, bearing life and load transfer require ground and full-scale tests.</w:t>
      </w:r>
    </w:p>
    <w:p>
      <w:pPr>
        <w:spacing w:after="80"/>
      </w:pPr>
      <w:r>
        <w:rPr>
          <w:rFonts w:ascii="Times New Roman" w:hAnsi="Times New Roman"/>
          <w:sz w:val="19"/>
        </w:rPr>
        <w:t>Biosphere. Gas, water and food balances are a systems model based on assumptions. Long-term stability of soil, microbiome, genetic diversity, demographics and sanitary control requires experiments and multi-year validation.</w:t>
      </w:r>
    </w:p>
    <w:p>
      <w:pPr>
        <w:spacing w:after="80"/>
      </w:pPr>
      <w:r>
        <w:rPr>
          <w:rFonts w:ascii="Times New Roman" w:hAnsi="Times New Roman"/>
          <w:sz w:val="19"/>
        </w:rPr>
        <w:t>Energy and heat. Electrical, thermal and radiator balances are steady-state estimates. Transients, equipment failures, start-up, shutdown and partial heat-rejection loss require a separate dynamic model.</w:t>
      </w:r>
    </w:p>
    <w:p>
      <w:pPr>
        <w:spacing w:after="80"/>
      </w:pPr>
      <w:r>
        <w:rPr>
          <w:rFonts w:ascii="Times New Roman" w:hAnsi="Times New Roman"/>
          <w:sz w:val="19"/>
        </w:rPr>
        <w:t>Load-bearing shell. Stress and mass values are first-level preliminary estimates. Local buckling, joints, welding, fatigue, fracture toughness, thermal gradients and corrosion require finite-element analysis and specimen testing.</w:t>
      </w:r>
    </w:p>
    <w:p>
      <w:pPr>
        <w:spacing w:after="80"/>
      </w:pPr>
      <w:r>
        <w:rPr>
          <w:rFonts w:ascii="Times New Roman" w:hAnsi="Times New Roman"/>
          <w:sz w:val="19"/>
        </w:rPr>
        <w:t>Geometry and rotation. Radius, length, angular velocity and artificial gravity are analytical estimates based on the adopted inputs. A flight or construction project would require an integrated dynamics model and verification of balancing modes.</w:t>
      </w:r>
    </w:p>
    <w:p>
      <w:pPr>
        <w:spacing w:after="80"/>
      </w:pPr>
      <w:r>
        <w:rPr>
          <w:rFonts w:ascii="Times New Roman" w:hAnsi="Times New Roman"/>
          <w:sz w:val="19"/>
        </w:rPr>
        <w:t>The matrix below defines the interpretation limits of the results. It does not replace design documentation, testing or certification.</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Геометрия и вращение: радиус, длина, угловая скорость и искусственная гравитация представлены аналитическими соотношениями.</w:t>
      </w:r>
    </w:p>
    <w:p>
      <w:pPr>
        <w:ind w:left="340" w:hanging="340"/>
      </w:pPr>
      <w:r>
        <w:rPr>
          <w:sz w:val="18"/>
        </w:rPr>
        <w:t>· Geometry and rotation: radius, length, angular velocity and artificial gravity are given by analytical relations.</w:t>
      </w:r>
    </w:p>
    <w:p>
      <w:pPr>
        <w:ind w:left="340" w:hanging="340"/>
      </w:pPr>
      <w:r>
        <w:rPr>
          <w:sz w:val="18"/>
        </w:rPr>
        <w:t>· Несущая оболочка: напряжения и массовые оценки являются предварительными оценками первого уровня.</w:t>
      </w:r>
    </w:p>
    <w:p>
      <w:pPr>
        <w:ind w:left="340" w:hanging="340"/>
      </w:pPr>
      <w:r>
        <w:rPr>
          <w:sz w:val="18"/>
        </w:rPr>
        <w:t>· Load-bearing shell: stresses and mass estimates are first-level preliminary estimates.</w:t>
      </w:r>
    </w:p>
    <w:p>
      <w:pPr>
        <w:ind w:left="340" w:hanging="340"/>
      </w:pPr>
      <w:r>
        <w:rPr>
          <w:sz w:val="18"/>
        </w:rPr>
        <w:t>· Энергия и тепло: электрический, тепловой и радиаторный балансы являются стационарными оценками.</w:t>
      </w:r>
    </w:p>
    <w:p>
      <w:pPr>
        <w:ind w:left="340" w:hanging="340"/>
      </w:pPr>
      <w:r>
        <w:rPr>
          <w:sz w:val="18"/>
        </w:rPr>
        <w:t>· Energy and heat: electrical, thermal and radiator balances are steady-state estimates.</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p>
      <w:pPr>
        <w:ind w:left="340" w:hanging="340"/>
      </w:pPr>
      <w:r>
        <w:rPr>
          <w:sz w:val="18"/>
        </w:rPr>
        <w:t>· Транспорт и стыковка: осевые рамы, цапфы, подшипниковые корпуса и переходные шахты являются концептуальной архитектурой.</w:t>
      </w:r>
    </w:p>
    <w:p>
      <w:pPr>
        <w:ind w:left="340" w:hanging="340"/>
      </w:pPr>
      <w:r>
        <w:rPr>
          <w:sz w:val="18"/>
        </w:rPr>
        <w:t>· Transport and docking: axial frames, trunnions, bearing housings and transition shafts are conceptual architecture.</w:t>
      </w:r>
    </w:p>
    <w:p>
      <w:pPr>
        <w:ind w:left="340" w:hanging="340"/>
      </w:pPr>
      <w:r>
        <w:rPr>
          <w:sz w:val="18"/>
        </w:rPr>
        <w:t>· Орбита L1: размещение в окрестности L1 и расход рабочего тела являются миссионными оценками.</w:t>
      </w:r>
    </w:p>
    <w:p>
      <w:pPr>
        <w:ind w:left="340" w:hanging="340"/>
      </w:pPr>
      <w:r>
        <w:rPr>
          <w:sz w:val="18"/>
        </w:rPr>
        <w:t>· L1 orbit: placement near L1 and propellant expenditure are mission-level estimates.</w:t>
      </w:r>
    </w:p>
    <w:p>
      <w:pPr>
        <w:ind w:left="340" w:hanging="340"/>
      </w:pPr>
      <w:r>
        <w:rPr>
          <w:sz w:val="18"/>
        </w:rPr>
        <w:t>· Правовые акты: Договор о принципах деятельности государств по исследованию и использованию космического пространства, 1967 г., ст. II, VI, VIII.</w:t>
      </w:r>
    </w:p>
    <w:p>
      <w:pPr>
        <w:ind w:left="340" w:hanging="340"/>
      </w:pPr>
      <w:r>
        <w:rPr>
          <w:sz w:val="18"/>
        </w:rPr>
        <w:t>· Legal acts: Outer Space Treaty, 1967, Articles II, VI, VIII.</w:t>
      </w:r>
    </w:p>
    <w:p>
      <w:pPr>
        <w:ind w:left="340" w:hanging="340"/>
      </w:pPr>
      <w:r>
        <w:rPr>
          <w:sz w:val="18"/>
        </w:rPr>
        <w:t>· Правовой статус: разделы о праве и управлении описывают сценарии и ограничения.</w:t>
      </w:r>
    </w:p>
    <w:p>
      <w:pPr>
        <w:ind w:left="340" w:hanging="340"/>
      </w:pPr>
      <w:r>
        <w:rPr>
          <w:sz w:val="18"/>
        </w:rPr>
        <w:t>· Legal status: the law and governance sections describe scenarios and constraints.</w:t>
      </w:r>
    </w:p>
    <w:p>
      <w:pPr>
        <w:ind w:left="340" w:hanging="340"/>
      </w:pPr>
      <w:r>
        <w:rPr>
          <w:sz w:val="18"/>
        </w:rPr>
        <w:t>· Данные о ресурсных телах: астероид (6178) 1986 DA, тип M, поперечник около 3 км.</w:t>
      </w:r>
    </w:p>
    <w:p>
      <w:pPr>
        <w:ind w:left="340" w:hanging="340"/>
      </w:pPr>
      <w:r>
        <w:rPr>
          <w:sz w:val="18"/>
        </w:rPr>
        <w:t>· Resource-body data: asteroid (6178) 1986 DA, type M, diameter about 3 km.</w:t>
      </w:r>
    </w:p>
    <w:p>
      <w:pPr>
        <w:ind w:left="340" w:hanging="340"/>
      </w:pPr>
      <w:r>
        <w:rPr>
          <w:sz w:val="18"/>
        </w:rPr>
        <w:t>· Технологические пределы: мировой рекорд стальной отливки — 270 т металла, готовая деталь 220 т.</w:t>
      </w:r>
    </w:p>
    <w:p>
      <w:pPr>
        <w:ind w:left="340" w:hanging="340"/>
      </w:pPr>
      <w:r>
        <w:rPr>
          <w:sz w:val="18"/>
        </w:rPr>
        <w:t>· Technological limits: world-record steel casting — 270 t of metal, 220 t component.</w:t>
      </w:r>
    </w:p>
    <w:p>
      <w:pPr>
        <w:ind w:left="340" w:hanging="340"/>
      </w:pPr>
      <w:r>
        <w:rPr>
          <w:sz w:val="18"/>
        </w:rPr>
        <w:t>· Эксперимент «Биосфера-2», 1991–1993 гг.: падение объёмной доли кислорода с 20,9 до 14,2 % за шестнадцать месяцев.</w:t>
      </w:r>
    </w:p>
    <w:p>
      <w:pPr>
        <w:ind w:left="340" w:hanging="340"/>
      </w:pPr>
      <w:r>
        <w:rPr>
          <w:sz w:val="18"/>
        </w:rPr>
        <w:t>· Biosphere 2 experiment, 1991–1993: oxygen volume fraction fell from 20.9 % to 14.2 % over sixteen months.</w:t>
      </w:r>
    </w:p>
    <w:p>
      <w:pPr>
        <w:ind w:left="340" w:hanging="340"/>
      </w:pPr>
      <w:r>
        <w:rPr>
          <w:sz w:val="18"/>
        </w:rPr>
        <w:t>· Нормативные величины: нормы потребления, санитарные пороги по кислороду и углекислому газу, нормы озеленения.</w:t>
      </w:r>
    </w:p>
    <w:p>
      <w:pPr>
        <w:ind w:left="340" w:hanging="340"/>
      </w:pPr>
      <w:r>
        <w:rPr>
          <w:sz w:val="18"/>
        </w:rPr>
        <w:t>· Regulatory values: consumption norms, health thresholds for oxygen and carbon dioxide, greening norms.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