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18"/>
        </w:rPr>
        <w:t>ММОСО'Н — модуль моделирования орбитальной станции О'Нилла</w:t>
      </w:r>
    </w:p>
    <w:p>
      <w:pPr>
        <w:jc w:val="center"/>
      </w:pPr>
      <w:r>
        <w:rPr>
          <w:i/>
          <w:sz w:val="18"/>
        </w:rPr>
        <w:t>Приложение Д / Appendix Д</w:t>
      </w:r>
    </w:p>
    <w:p>
      <w:pPr>
        <w:jc w:val="center"/>
      </w:pPr>
      <w:r>
        <w:rPr>
          <w:b/>
          <w:color w:val="1F3864"/>
          <w:sz w:val="26"/>
        </w:rPr>
        <w:t>ПРИЛОЖЕНИЕ Д. СПИСОК ИСПОЛЬЗОВАННОЙ ЛИТЕРАТУРЫ</w:t>
      </w:r>
    </w:p>
    <w:p>
      <w:pPr>
        <w:jc w:val="center"/>
      </w:pPr>
      <w:r>
        <w:rPr>
          <w:b/>
          <w:color w:val="1F3864"/>
          <w:sz w:val="26"/>
        </w:rPr>
        <w:t>APPENDIX F. REFERENCES</w:t>
      </w:r>
    </w:p>
    <w:p>
      <w:pPr>
        <w:jc w:val="center"/>
      </w:pPr>
      <w:r>
        <w:rPr>
          <w:i/>
          <w:sz w:val="17"/>
        </w:rPr>
        <w:t>Редакция 8 · 31 октября 2026 г.  ·  документ 40 из 43</w:t>
      </w:r>
    </w:p>
    <w:p>
      <w:pPr>
        <w:jc w:val="center"/>
      </w:pPr>
      <w:r>
        <w:rPr>
          <w:color w:val="808080"/>
          <w:sz w:val="16"/>
        </w:rPr>
        <w:t>——————————————————————————————————</w:t>
      </w:r>
    </w:p>
    <w:p>
      <w:pPr>
        <w:spacing w:before="200"/>
        <w:jc w:val="center"/>
      </w:pPr>
      <w:r>
        <w:rPr>
          <w:b/>
          <w:color w:val="2E5496"/>
          <w:sz w:val="17"/>
        </w:rPr>
        <w:t>РУССКАЯ РЕДАКЦИЯ / РУССКИЙ ТЕКСТ</w:t>
      </w:r>
    </w:p>
    <w:p>
      <w:pPr>
        <w:pStyle w:val="Heading1"/>
        <w:pageBreakBefore/>
      </w:pPr>
      <w:r>
        <w:t>ПРИЛОЖЕНИЕ Д. СПИСОК ИСПОЛЬЗОВАННОЙ ЛИТЕРАТУРЫ</w:t>
      </w:r>
    </w:p>
    <w:p>
      <w:r>
        <w:t>Список содержит источники, использованные при подготовке настоящей редакции. Позиции 1, 15–18 использовались и в предыдущих редакциях; позиции 2–14 привлечены для разделов 28–34. Величины, полученные в самом документе вычислением, источниками не сопровождаются.</w:t>
      </w:r>
    </w:p>
    <w:p>
      <w:pPr>
        <w:pStyle w:val="ListBullet"/>
      </w:pPr>
      <w:r>
        <w:t>1. Договор о принципах деятельности государств по исследованию и использованию космического пространства, включая Луну и другие небесные тела. 27 января 1967 г. Статьи II, VI, VIII.</w:t>
      </w:r>
    </w:p>
    <w:p>
      <w:pPr>
        <w:pStyle w:val="ListBullet"/>
      </w:pPr>
      <w:r>
        <w:t>2. O’Neill G. K. The Colonization of Space // Physics Today. 1974. Vol. 27, No. 9. P. 32–40. doi:10.1063/1.3128863.</w:t>
      </w:r>
    </w:p>
    <w:p>
      <w:pPr>
        <w:pStyle w:val="ListBullet"/>
      </w:pPr>
      <w:r>
        <w:t>3. O’Neill G. K. The High Frontier: Human Colonies in Space. New York: William Morrow, 1977.</w:t>
      </w:r>
    </w:p>
    <w:p>
      <w:pPr>
        <w:pStyle w:val="ListBullet"/>
      </w:pPr>
      <w:r>
        <w:t>4. Johnson R. D., Holbrow C. (eds.). Space Settlements: A Design Study. NASA SP-413. Washington: NASA Scientific and Technical Information Office, 1977.</w:t>
      </w:r>
    </w:p>
    <w:p>
      <w:pPr>
        <w:pStyle w:val="ListBullet"/>
      </w:pPr>
      <w:r>
        <w:t>5. Space Resources and Space Settlements. NASA SP-428. Washington: NASA, 1979. [Материалы летнего исследования 1977 г.]</w:t>
      </w:r>
    </w:p>
    <w:p>
      <w:pPr>
        <w:pStyle w:val="ListBullet"/>
      </w:pPr>
      <w:r>
        <w:t>6. Franklin I. R. Evolutionary change in small populations // Conservation Biology: An Evolutionary-Ecological Perspective / eds. M. E. Soulé, B. A. Wilcox. Sunderland: Sinauer, 1980. P. 135–149.</w:t>
      </w:r>
    </w:p>
    <w:p>
      <w:pPr>
        <w:pStyle w:val="ListBullet"/>
      </w:pPr>
      <w:r>
        <w:t>7. Soulé M. E. Thresholds for survival: maintaining fitness and evolutionary potential // Conservation Biology: An Evolutionary-Ecological Perspective / eds. M. E. Soulé, B. A. Wilcox. Sunderland: Sinauer, 1980. P. 151–169.</w:t>
      </w:r>
    </w:p>
    <w:p>
      <w:pPr>
        <w:pStyle w:val="ListBullet"/>
      </w:pPr>
      <w:r>
        <w:t>8. Frankham K., Bradshaw C. J. A., Brook B. W. Genetics in conservation management: revised recommendations for the 50/500 rules, Red List criteria and population viability analyses // Biological Conservation. 2014. Vol. 170. P. 56–63.</w:t>
      </w:r>
    </w:p>
    <w:p>
      <w:pPr>
        <w:pStyle w:val="ListBullet"/>
      </w:pPr>
      <w:r>
        <w:t>9. Nelson M., Burgess T. L., Ailing A., Alvarez-Romo N., Dempster W. F., Walford R. L., Allen J. P. Using a closed ecological system to study Earth’s biosphere: initial results from Biosphere 2 // BioScience. 1993. Vol. 43. P. 225–236.</w:t>
      </w:r>
    </w:p>
    <w:p>
      <w:pPr>
        <w:pStyle w:val="ListBullet"/>
      </w:pPr>
      <w:r>
        <w:t>10. Severinghaus J. P., Broecker W. F., Dempster T. F., MacCallum T., Wahlen M. Oxygen loss in Biosphere 2 // Eos, Transactions American Geophysical Union. 1994. Vol. 75, No. 3. P. 33–37. doi:10.1029/94EO00285.</w:t>
      </w:r>
    </w:p>
    <w:p>
      <w:pPr>
        <w:pStyle w:val="ListBullet"/>
      </w:pPr>
      <w:r>
        <w:t>11. National Research Council. Nutrient Requirements of Dogs and Cats. Washington: The National Academies Press, 2006.</w:t>
      </w:r>
    </w:p>
    <w:p>
      <w:pPr>
        <w:pStyle w:val="ListBullet"/>
      </w:pPr>
      <w:r>
        <w:t>12. Lu S., Taethaisong N., Sinpru B. et al. Black soldier fly (Hermetia illucens) larvae as a feed ingredient: a review // Agriculture. 2022. [обзор состава личинок: 40–45 % белка, 25–35 % липидов на сухое вещество]</w:t>
      </w:r>
    </w:p>
    <w:p>
      <w:pPr>
        <w:pStyle w:val="ListBullet"/>
      </w:pPr>
      <w:r>
        <w:t>13. UN-Habitat. The Block by Block Playbook: Using Minecraft as a Participatory Design Tool in Urban Design and Governance. Nairobi: UN-Habitat, 2021.</w:t>
      </w:r>
    </w:p>
    <w:p>
      <w:pPr>
        <w:pStyle w:val="ListBullet"/>
      </w:pPr>
      <w:r>
        <w:t>14. Benjamins R., Vieira C., Ferreira B. Minecraft as a tool for engaging children in urban planning: a case study in Tirol town, Brazil // ISPRS International Journal of Geo-Information. 2020. Vol. 9, No. 3. 170.</w:t>
      </w:r>
    </w:p>
    <w:p>
      <w:pPr>
        <w:pStyle w:val="ListBullet"/>
      </w:pPr>
      <w:r>
        <w:t>15. Астероид (6178) 1986 DA: тип M, поперечник около 3 км, большая полуось 2,8216 а. е., эксцентриситет 0,5818, наклонение 4,31°, период 4,7 года. [Данные каталога малых тел; использованы в разделе 30.]</w:t>
      </w:r>
    </w:p>
    <w:p>
      <w:pPr>
        <w:pStyle w:val="ListBullet"/>
      </w:pPr>
      <w:r>
        <w:t>16. Мировой рекорд стальной отливки: 270 т металла, готовая деталь 9,78 × 3,3 × 3,1 м массой 220 т, охлаждение в форме до 300 °C — четыре недели (Siempelkamp, 2009).</w:t>
      </w:r>
    </w:p>
    <w:p>
      <w:pPr>
        <w:pStyle w:val="ListBullet"/>
      </w:pPr>
      <w:r>
        <w:t>17. Нормы потребления, санитарные пороги по кислороду и углекислому газу, нормы озеленения Всемирной организации здравоохранения, удельные показатели почвенной биоты и энергоёмкости растениеводства. [Нормативные величины; использованы в разделах 5, 29.]</w:t>
      </w:r>
    </w:p>
    <w:p>
      <w:pPr>
        <w:pStyle w:val="ListBullet"/>
      </w:pPr>
      <w:r>
        <w:t>18. Скорость атмосферной коррозии стали: около 0,01 мм/год без покрытия и 0,001 мм/год с лакокрасочным покрытием при мягком умеренном климате. [Использованы в п. 14.3 и разделе 30.]</w:t>
      </w:r>
    </w:p>
    <w:p>
      <w:pPr>
        <w:spacing w:before="200"/>
        <w:jc w:val="center"/>
      </w:pPr>
      <w:r>
        <w:rPr>
          <w:b/>
          <w:color w:val="2E5496"/>
          <w:sz w:val="17"/>
        </w:rPr>
        <w:t>ENGLISH EDITION</w:t>
      </w:r>
    </w:p>
    <w:p>
      <w:pPr>
        <w:pStyle w:val="Heading1"/>
        <w:pageBreakBefore/>
      </w:pPr>
      <w:r>
        <w:t>APPENDIX F. REFERENCES</w:t>
      </w:r>
    </w:p>
    <w:p>
      <w:r>
        <w:t>The list contains the sources used in preparing this edition. Items 1 and 15–18 were used in earlier editions; items 2–14 were drawn on for sections 28–34. Values obtained within the document itself by computation are not accompanied by sources. The Russian edition carries the same list as Appendix D.</w:t>
      </w:r>
    </w:p>
    <w:p>
      <w:pPr>
        <w:pStyle w:val="ListBullet"/>
      </w:pPr>
      <w:r>
        <w:t>1. Treaty on Principles Governing the Activities of States in the Exploration and Use of Outer Space, including the Moon and Other Celestial Bodies. 27 January 1967. Articles II, VI, VIII.</w:t>
      </w:r>
    </w:p>
    <w:p>
      <w:pPr>
        <w:pStyle w:val="ListBullet"/>
      </w:pPr>
      <w:r>
        <w:t>2. O’Neill G. K. The Colonization of Space // Physics Today. 1974. Vol. 27, No. 9. P. 32–40. doi:10.1063/1.3128863.</w:t>
      </w:r>
    </w:p>
    <w:p>
      <w:pPr>
        <w:pStyle w:val="ListBullet"/>
      </w:pPr>
      <w:r>
        <w:t>3. O’Neill G. K. The High Frontier: Human Colonies in Space. New York: William Morrow, 1977.</w:t>
      </w:r>
    </w:p>
    <w:p>
      <w:pPr>
        <w:pStyle w:val="ListBullet"/>
      </w:pPr>
      <w:r>
        <w:t>4. Johnson R. D., Holbrow C. (eds.). Space Settlements: A Design Study. NASA SP-413. Washington: NASA Scientific and Technical Information Office, 1977.</w:t>
      </w:r>
    </w:p>
    <w:p>
      <w:pPr>
        <w:pStyle w:val="ListBullet"/>
      </w:pPr>
      <w:r>
        <w:t>5. Space Resources and Space Settlements. NASA SP-428. Washington: NASA, 1979. [Proceedings of the 1977 summer study.]</w:t>
      </w:r>
    </w:p>
    <w:p>
      <w:pPr>
        <w:pStyle w:val="ListBullet"/>
      </w:pPr>
      <w:r>
        <w:t>6. Franklin I. R. Evolutionary change in small populations // Conservation Biology: An Evolutionary-Ecological Perspective / eds. M. E. Soulé, B. A. Wilcox. Sunderland: Sinauer, 1980. P. 135–149.</w:t>
      </w:r>
    </w:p>
    <w:p>
      <w:pPr>
        <w:pStyle w:val="ListBullet"/>
      </w:pPr>
      <w:r>
        <w:t>7. Soulé M. E. Thresholds for survival: maintaining fitness and evolutionary potential // Conservation Biology: An Evolutionary-Ecological Perspective / eds. M. E. Soulé, B. A. Wilcox. Sunderland: Sinauer, 1980. P. 151–169.</w:t>
      </w:r>
    </w:p>
    <w:p>
      <w:pPr>
        <w:pStyle w:val="ListBullet"/>
      </w:pPr>
      <w:r>
        <w:t>8. Frankham K., Bradshaw C. J. A., Brook B. W. Genetics in conservation management: revised recommendations for the 50/500 rules, Red List criteria and population viability analyses // Biological Conservation. 2014. Vol. 170. P. 56–63.</w:t>
      </w:r>
    </w:p>
    <w:p>
      <w:pPr>
        <w:pStyle w:val="ListBullet"/>
      </w:pPr>
      <w:r>
        <w:t>9. Nelson M., Burgess T. L., Ailing A., Alvarez-Romo N., Dempster W. F., Walford R. L., Allen J. P. Using a closed ecological system to study Earth’s biosphere: initial results from Biosphere 2 // BioScience. 1993. Vol. 43. P. 225–236.</w:t>
      </w:r>
    </w:p>
    <w:p>
      <w:pPr>
        <w:pStyle w:val="ListBullet"/>
      </w:pPr>
      <w:r>
        <w:t>10. Severinghaus J. P., Broecker W. F., Dempster T. F., MacCallum T., Wahlen M. Oxygen loss in Biosphere 2 // Eos, Transactions American Geophysical Union. 1994. Vol. 75, No. 3. P. 33–37. doi:10.1029/94EO00285.</w:t>
      </w:r>
    </w:p>
    <w:p>
      <w:pPr>
        <w:pStyle w:val="ListBullet"/>
      </w:pPr>
      <w:r>
        <w:t>11. National Research Council. Nutrient Requirements of Dogs and Cats. Washington: The National Academies Press, 2006.</w:t>
      </w:r>
    </w:p>
    <w:p>
      <w:pPr>
        <w:pStyle w:val="ListBullet"/>
      </w:pPr>
      <w:r>
        <w:t>12. Lu S., Taethaisong N., Sinpru B. et al. Black soldier fly (Hermetia illucens) larvae as a feed ingredient: a review // Agriculture. 2022. [larval composition: 40–45 % protein, 25–35 % lipids on a dry basis]</w:t>
      </w:r>
    </w:p>
    <w:p>
      <w:pPr>
        <w:pStyle w:val="ListBullet"/>
      </w:pPr>
      <w:r>
        <w:t>13. UN-Habitat. The Block by Block Playbook: Using Minecraft as a Participatory Design Tool in Urban Design and Governance. Nairobi: UN-Habitat, 2021.</w:t>
      </w:r>
    </w:p>
    <w:p>
      <w:pPr>
        <w:pStyle w:val="ListBullet"/>
      </w:pPr>
      <w:r>
        <w:t>14. Benjamins R., Vieira C., Ferreira B. Minecraft as a tool for engaging children in urban planning: a case study in Tirol town, Brazil // ISPRS International Journal of Geo-Information. 2020. Vol. 9, No. 3. 170.</w:t>
      </w:r>
    </w:p>
    <w:p>
      <w:pPr>
        <w:pStyle w:val="ListBullet"/>
      </w:pPr>
      <w:r>
        <w:t>15. Asteroid (6178) 1986 DA: type M, diameter about 3 km, semi-major axis 2.8216 AU, eccentricity 0.5818, inclination 4.31°, period 4.7 yr. [Minor-body catalogue data; used in section 30.]</w:t>
      </w:r>
    </w:p>
    <w:p>
      <w:pPr>
        <w:pStyle w:val="ListBullet"/>
      </w:pPr>
      <w:r>
        <w:t>16. World record steel casting: 270 t of metal, finished component 9.78 × 3.3 × 3.1 m of 220 t mass, cooling in the mould to 300 °C — four weeks (Siempelkamp, 2009).</w:t>
      </w:r>
    </w:p>
    <w:p>
      <w:pPr>
        <w:pStyle w:val="ListBullet"/>
      </w:pPr>
      <w:r>
        <w:t>17. Consumption norms, health thresholds for oxygen and carbon dioxide, World Health Organization greening norms, specific indicators of soil biota and energy intensity of crop production. [Regulatory values; used in sections 5 and 29.]</w:t>
      </w:r>
    </w:p>
    <w:p>
      <w:pPr>
        <w:pStyle w:val="ListBullet"/>
      </w:pPr>
      <w:r>
        <w:t>18. Atmospheric corrosion rate of steel: about 0.01 mm/yr without coating and 0.001 mm/yr with paint coating in a mild temperate climate. [Used in item 14.3 and section 30.]</w:t>
      </w:r>
    </w:p>
    <w:p/>
    <w:p>
      <w:pPr>
        <w:spacing w:before="200"/>
        <w:jc w:val="center"/>
      </w:pPr>
      <w:r>
        <w:rPr>
          <w:b/>
          <w:color w:val="2E5496"/>
          <w:sz w:val="17"/>
        </w:rPr>
        <w:t>СПИСОК ЛИТЕРАТУРЫ РАЗДЕЛА / REFERENCES OF THIS SECTION</w:t>
      </w:r>
    </w:p>
    <w:p>
      <w:pPr>
        <w:ind w:left="340" w:hanging="340"/>
      </w:pPr>
      <w:r>
        <w:rPr>
          <w:sz w:val="18"/>
        </w:rPr>
        <w:t>1. Договор о принципах деятельности государств по исследованию и использованию космического пространства, включая Луну и другие небесные тела. 27 января 1967 г. Статьи II, VI, VIII.</w:t>
      </w:r>
    </w:p>
    <w:p>
      <w:pPr>
        <w:ind w:left="340" w:hanging="340"/>
      </w:pPr>
      <w:r>
        <w:rPr>
          <w:sz w:val="18"/>
        </w:rPr>
        <w:t>1. Treaty on Principles Governing the Activities of States in the Exploration and Use of Outer Space, including the Moon and Other Celestial Bodies. 27 January 1967. Articles II, VI, VIII.</w:t>
      </w:r>
    </w:p>
    <w:p>
      <w:pPr>
        <w:ind w:left="340" w:hanging="340"/>
      </w:pPr>
      <w:r>
        <w:rPr>
          <w:sz w:val="18"/>
        </w:rPr>
        <w:t>2. O’Neill G. K. The Colonization of Space // Physics Today. 1974. Vol. 27, No. 9. P. 32–40. doi:10.1063/1.3128863.</w:t>
      </w:r>
    </w:p>
    <w:p>
      <w:pPr>
        <w:ind w:left="340" w:hanging="340"/>
      </w:pPr>
      <w:r>
        <w:rPr>
          <w:sz w:val="18"/>
        </w:rPr>
        <w:t>2. O’Neill G. K. The Colonization of Space // Physics Today. 1974. Vol. 27, No. 9. P. 32–40. doi:10.1063/1.3128863.</w:t>
      </w:r>
    </w:p>
    <w:p>
      <w:pPr>
        <w:ind w:left="340" w:hanging="340"/>
      </w:pPr>
      <w:r>
        <w:rPr>
          <w:sz w:val="18"/>
        </w:rPr>
        <w:t>3. O’Neill G. K. The High Frontier: Human Colonies in Space. New York: William Morrow, 1977.</w:t>
      </w:r>
    </w:p>
    <w:p>
      <w:pPr>
        <w:ind w:left="340" w:hanging="340"/>
      </w:pPr>
      <w:r>
        <w:rPr>
          <w:sz w:val="18"/>
        </w:rPr>
        <w:t>3. O’Neill G. K. The High Frontier: Human Colonies in Space. New York: William Morrow, 1977.</w:t>
      </w:r>
    </w:p>
    <w:p>
      <w:pPr>
        <w:ind w:left="340" w:hanging="340"/>
      </w:pPr>
      <w:r>
        <w:rPr>
          <w:sz w:val="18"/>
        </w:rPr>
        <w:t>4. Johnson R. D., Holbrow C. (eds.). Space Settlements: A Design Study. NASA SP-413. Washington: NASA Scientific and Technical Information Office, 1977.</w:t>
      </w:r>
    </w:p>
    <w:p>
      <w:pPr>
        <w:ind w:left="340" w:hanging="340"/>
      </w:pPr>
      <w:r>
        <w:rPr>
          <w:sz w:val="18"/>
        </w:rPr>
        <w:t>4. Johnson R. D., Holbrow C. (eds.). Space Settlements: A Design Study. NASA SP-413. Washington: NASA Scientific and Technical Information Office, 1977.</w:t>
      </w:r>
    </w:p>
    <w:p>
      <w:pPr>
        <w:ind w:left="340" w:hanging="340"/>
      </w:pPr>
      <w:r>
        <w:rPr>
          <w:sz w:val="18"/>
        </w:rPr>
        <w:t>5. Space Resources and Space Settlements. NASA SP-428. Washington: NASA, 1979. [Материалы летнего исследования 1977 г.]</w:t>
      </w:r>
    </w:p>
    <w:p>
      <w:pPr>
        <w:ind w:left="340" w:hanging="340"/>
      </w:pPr>
      <w:r>
        <w:rPr>
          <w:sz w:val="18"/>
        </w:rPr>
        <w:t>5. Space Resources and Space Settlements. NASA SP-428. Washington: NASA, 1979. [Proceedings of the 1977 summer study.]</w:t>
      </w:r>
    </w:p>
    <w:p>
      <w:pPr>
        <w:ind w:left="340" w:hanging="340"/>
      </w:pPr>
      <w:r>
        <w:rPr>
          <w:sz w:val="18"/>
        </w:rPr>
        <w:t>6. Franklin I. R. Evolutionary change in small populations // Conservation Biology: An Evolutionary-Ecological Perspective / eds. M. E. Soulé, B. A. Wilcox. Sunderland: Sinauer, 1980. P. 135–149.</w:t>
      </w:r>
    </w:p>
    <w:p>
      <w:pPr>
        <w:ind w:left="340" w:hanging="340"/>
      </w:pPr>
      <w:r>
        <w:rPr>
          <w:sz w:val="18"/>
        </w:rPr>
        <w:t>6. Franklin I. R. Evolutionary change in small populations // Conservation Biology: An Evolutionary-Ecological Perspective / eds. M. E. Soulé, B. A. Wilcox. Sunderland: Sinauer, 1980. P. 135–149.</w:t>
      </w:r>
    </w:p>
    <w:p>
      <w:pPr>
        <w:ind w:left="340" w:hanging="340"/>
      </w:pPr>
      <w:r>
        <w:rPr>
          <w:sz w:val="18"/>
        </w:rPr>
        <w:t>7. Soulé M. E. Thresholds for survival: maintaining fitness and evolutionary potential // Conservation Biology: An Evolutionary-Ecological Perspective / eds. M. E. Soulé, B. A. Wilcox. Sunderland: Sinauer, 1980. P. 151–169.</w:t>
      </w:r>
    </w:p>
    <w:p>
      <w:pPr>
        <w:ind w:left="340" w:hanging="340"/>
      </w:pPr>
      <w:r>
        <w:rPr>
          <w:sz w:val="18"/>
        </w:rPr>
        <w:t>7. Soulé M. E. Thresholds for survival: maintaining fitness and evolutionary potential // Conservation Biology: An Evolutionary-Ecological Perspective / eds. M. E. Soulé, B. A. Wilcox. Sunderland: Sinauer, 1980. P. 151–169.</w:t>
      </w:r>
    </w:p>
    <w:p>
      <w:pPr>
        <w:ind w:left="340" w:hanging="340"/>
      </w:pPr>
      <w:r>
        <w:rPr>
          <w:sz w:val="18"/>
        </w:rPr>
        <w:t>8. Frankham K., Bradshaw C. J. A., Brook B. W. Genetics in conservation management: revised recommendations for the 50/500 rules, Red List criteria and population viability analyses // Biological Conservation. 2014. Vol. 170. P. 56–63.</w:t>
      </w:r>
    </w:p>
    <w:p>
      <w:pPr>
        <w:ind w:left="340" w:hanging="340"/>
      </w:pPr>
      <w:r>
        <w:rPr>
          <w:sz w:val="18"/>
        </w:rPr>
        <w:t>8. Frankham K., Bradshaw C. J. A., Brook B. W. Genetics in conservation management: revised recommendations for the 50/500 rules, Red List criteria and population viability analyses // Biological Conservation. 2014. Vol. 170. P. 56–63.</w:t>
      </w:r>
    </w:p>
    <w:p>
      <w:pPr>
        <w:ind w:left="340" w:hanging="340"/>
      </w:pPr>
      <w:r>
        <w:rPr>
          <w:sz w:val="18"/>
        </w:rPr>
        <w:t>9. Nelson M., Burgess T. L., Ailing A., Alvarez-Romo N., Dempster W. F., Walford R. L., Allen J. P. Using a closed ecological system to study Earth’s biosphere: initial results from Biosphere 2 // BioScience. 1993. Vol. 43. P. 225–236.</w:t>
      </w:r>
    </w:p>
    <w:p>
      <w:pPr>
        <w:ind w:left="340" w:hanging="340"/>
      </w:pPr>
      <w:r>
        <w:rPr>
          <w:sz w:val="18"/>
        </w:rPr>
        <w:t>9. Nelson M., Burgess T. L., Ailing A., Alvarez-Romo N., Dempster W. F., Walford R. L., Allen J. P. Using a closed ecological system to study Earth’s biosphere: initial results from Biosphere 2 // BioScience. 1993. Vol. 43. P. 225–236.</w:t>
      </w:r>
    </w:p>
    <w:p>
      <w:pPr>
        <w:ind w:left="340" w:hanging="340"/>
      </w:pPr>
      <w:r>
        <w:rPr>
          <w:sz w:val="18"/>
        </w:rPr>
        <w:t>10. Severinghaus J. P., Broecker W. F., Dempster T. F., MacCallum T., Wahlen M. Oxygen loss in Biosphere 2 // Eos, Transactions American Geophysical Union. 1994. Vol. 75, No. 3. P. 33–37. doi:10.1029/94EO00285.</w:t>
      </w:r>
    </w:p>
    <w:p>
      <w:pPr>
        <w:ind w:left="340" w:hanging="340"/>
      </w:pPr>
      <w:r>
        <w:rPr>
          <w:sz w:val="18"/>
        </w:rPr>
        <w:t>10. Severinghaus J. P., Broecker W. F., Dempster T. F., MacCallum T., Wahlen M. Oxygen loss in Biosphere 2 // Eos, Transactions American Geophysical Union. 1994. Vol. 75, No. 3. P. 33–37. doi:10.1029/94EO00285.</w:t>
      </w:r>
    </w:p>
    <w:p>
      <w:pPr>
        <w:ind w:left="340" w:hanging="340"/>
      </w:pPr>
      <w:r>
        <w:rPr>
          <w:sz w:val="18"/>
        </w:rPr>
        <w:t>11. National Research Council. Nutrient Requirements of Dogs and Cats. Washington: The National Academies Press, 2006.</w:t>
      </w:r>
    </w:p>
    <w:p>
      <w:pPr>
        <w:ind w:left="340" w:hanging="340"/>
      </w:pPr>
      <w:r>
        <w:rPr>
          <w:sz w:val="18"/>
        </w:rPr>
        <w:t>11. National Research Council. Nutrient Requirements of Dogs and Cats. Washington: The National Academies Press, 2006.</w:t>
      </w:r>
    </w:p>
    <w:p>
      <w:pPr>
        <w:ind w:left="340" w:hanging="340"/>
      </w:pPr>
      <w:r>
        <w:rPr>
          <w:sz w:val="18"/>
        </w:rPr>
        <w:t>12. Lu S., Taethaisong N., Sinpru B. et al. Black soldier fly (Hermetia illucens) larvae as a feed ingredient: a review // Agriculture. 2022. [обзор состава личинок: 40–45 % белка, 25–35 % липидов на сухое вещество]</w:t>
      </w:r>
    </w:p>
    <w:p>
      <w:pPr>
        <w:ind w:left="340" w:hanging="340"/>
      </w:pPr>
      <w:r>
        <w:rPr>
          <w:sz w:val="18"/>
        </w:rPr>
        <w:t>12. Lu S., Taethaisong N., Sinpru B. et al. Black soldier fly (Hermetia illucens) larvae as a feed ingredient: a review // Agriculture. 2022. [larval composition: 40–45 % protein, 25–35 % lipids on a dry basis]</w:t>
      </w:r>
    </w:p>
    <w:p>
      <w:pPr>
        <w:ind w:left="340" w:hanging="340"/>
      </w:pPr>
      <w:r>
        <w:rPr>
          <w:sz w:val="18"/>
        </w:rPr>
        <w:t>13. UN-Habitat. The Block by Block Playbook: Using Minecraft as a Participatory Design Tool in Urban Design and Governance. Nairobi: UN-Habitat, 2021.</w:t>
      </w:r>
    </w:p>
    <w:p>
      <w:pPr>
        <w:ind w:left="340" w:hanging="340"/>
      </w:pPr>
      <w:r>
        <w:rPr>
          <w:sz w:val="18"/>
        </w:rPr>
        <w:t>13. UN-Habitat. The Block by Block Playbook: Using Minecraft as a Participatory Design Tool in Urban Design and Governance. Nairobi: UN-Habitat, 2021.</w:t>
      </w:r>
    </w:p>
    <w:p>
      <w:pPr>
        <w:ind w:left="340" w:hanging="340"/>
      </w:pPr>
      <w:r>
        <w:rPr>
          <w:sz w:val="18"/>
        </w:rPr>
        <w:t>14. Benjamins R., Vieira C., Ferreira B. Minecraft as a tool for engaging children in urban planning: a case study in Tirol town, Brazil // ISPRS International Journal of Geo-Information. 2020. Vol. 9, No. 3. 170.</w:t>
      </w:r>
    </w:p>
    <w:p>
      <w:pPr>
        <w:ind w:left="340" w:hanging="340"/>
      </w:pPr>
      <w:r>
        <w:rPr>
          <w:sz w:val="18"/>
        </w:rPr>
        <w:t>14. Benjamins R., Vieira C., Ferreira B. Minecraft as a tool for engaging children in urban planning: a case study in Tirol town, Brazil // ISPRS International Journal of Geo-Information. 2020. Vol. 9, No. 3. 170.</w:t>
      </w:r>
    </w:p>
    <w:p>
      <w:pPr>
        <w:ind w:left="340" w:hanging="340"/>
      </w:pPr>
      <w:r>
        <w:rPr>
          <w:sz w:val="18"/>
        </w:rPr>
        <w:t>15. Астероид (6178) 1986 DA: тип M, поперечник около 3 км, большая полуось 2,8216 а. е., эксцентриситет 0,5818, наклонение 4,31°, период 4,7 года. [Данные каталога малых тел; использованы в разделе 30.]</w:t>
      </w:r>
    </w:p>
    <w:p>
      <w:pPr>
        <w:ind w:left="340" w:hanging="340"/>
      </w:pPr>
      <w:r>
        <w:rPr>
          <w:sz w:val="18"/>
        </w:rPr>
        <w:t>15. Asteroid (6178) 1986 DA: type M, diameter about 3 km, semi-major axis 2.8216 AU, eccentricity 0.5818, inclination 4.31°, period 4.7 yr. [Minor-body catalogue data; used in section 30.]</w:t>
      </w:r>
    </w:p>
    <w:p>
      <w:pPr>
        <w:ind w:left="340" w:hanging="340"/>
      </w:pPr>
      <w:r>
        <w:rPr>
          <w:sz w:val="18"/>
        </w:rPr>
        <w:t>16. Мировой рекорд стальной отливки: 270 т металла, готовая деталь 9,78 × 3,3 × 3,1 м массой 220 т, охлаждение в форме до 300 °C — четыре недели (Siempelkamp, 2009).</w:t>
      </w:r>
    </w:p>
    <w:p>
      <w:pPr>
        <w:ind w:left="340" w:hanging="340"/>
      </w:pPr>
      <w:r>
        <w:rPr>
          <w:sz w:val="18"/>
        </w:rPr>
        <w:t>16. World record steel casting: 270 t of metal, finished component 9.78 × 3.3 × 3.1 m of 220 t mass, cooling in the mould to 300 °C — four weeks (Siempelkamp, 2009).</w:t>
      </w:r>
    </w:p>
    <w:p>
      <w:pPr>
        <w:ind w:left="340" w:hanging="340"/>
      </w:pPr>
      <w:r>
        <w:rPr>
          <w:sz w:val="18"/>
        </w:rPr>
        <w:t>17. Нормы потребления, санитарные пороги по кислороду и углекислому газу, нормы озеленения Всемирной организации здравоохранения, удельные показатели почвенной биоты и энергоёмкости растениеводства. [Нормативные величины; использованы в разделах 5, 29.]</w:t>
      </w:r>
    </w:p>
    <w:p>
      <w:pPr>
        <w:ind w:left="340" w:hanging="340"/>
      </w:pPr>
      <w:r>
        <w:rPr>
          <w:sz w:val="18"/>
        </w:rPr>
        <w:t>17. Consumption norms, health thresholds for oxygen and carbon dioxide, World Health Organization greening norms, specific indicators of soil biota and energy intensity of crop production. [Regulatory values; used in sections 5 and 29.]</w:t>
      </w:r>
    </w:p>
    <w:p>
      <w:pPr>
        <w:ind w:left="340" w:hanging="340"/>
      </w:pPr>
      <w:r>
        <w:rPr>
          <w:sz w:val="18"/>
        </w:rPr>
        <w:t>18. Скорость атмосферной коррозии стали: около 0,01 мм/год без покрытия и 0,001 мм/год с лакокрасочным покрытием при мягком умеренном климате. [Использованы в п. 14.3 и разделе 30.]</w:t>
      </w:r>
    </w:p>
    <w:p>
      <w:pPr>
        <w:ind w:left="340" w:hanging="340"/>
      </w:pPr>
      <w:r>
        <w:rPr>
          <w:sz w:val="18"/>
        </w:rPr>
        <w:t>18. Atmospheric corrosion rate of steel: about 0.01 mm/yr without coating and 0.001 mm/yr with paint coating in a mild temperate climate. [Used in item 14.3 and section 30.]</w:t>
      </w:r>
    </w:p>
    <w:sectPr w:rsidR="00FC693F" w:rsidRPr="0006063C" w:rsidSect="00034616">
      <w:pgSz w:w="11906" w:h="16838"/>
      <w:pgMar w:top="1134" w:right="964"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1F386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