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Приложение Е / Appendix Е</w:t>
      </w:r>
    </w:p>
    <w:p>
      <w:pPr>
        <w:jc w:val="center"/>
      </w:pPr>
      <w:r>
        <w:rPr>
          <w:b/>
          <w:color w:val="1F3864"/>
          <w:sz w:val="26"/>
        </w:rPr>
        <w:t>ПРИЛОЖЕНИЕ Е. МАТРИЦА СТАТУСОВ И ПРОВЕРКИ</w:t>
      </w:r>
    </w:p>
    <w:p>
      <w:pPr>
        <w:jc w:val="center"/>
      </w:pPr>
      <w:r>
        <w:rPr>
          <w:b/>
          <w:color w:val="1F3864"/>
          <w:sz w:val="26"/>
        </w:rPr>
        <w:t>APPENDIX E. STATUS AND VERIFICATION MATRIX</w:t>
      </w:r>
    </w:p>
    <w:p>
      <w:pPr>
        <w:jc w:val="center"/>
      </w:pPr>
      <w:r>
        <w:rPr>
          <w:i/>
          <w:sz w:val="17"/>
        </w:rPr>
        <w:t>Редакция 8 · 31 октября 2026 г.  ·  документ 41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  <w:keepNext/>
      </w:pPr>
      <w:r>
        <w:rPr>
          <w:rFonts w:ascii="Times New Roman" w:hAnsi="Times New Roman"/>
        </w:rPr>
        <w:t>ПРИЛОЖЕНИЕ Е. МАТРИЦА СТАТУСОВ И ПРОВЕРКИ</w:t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  <w:keepNext/>
      </w:pPr>
      <w:r>
        <w:rPr>
          <w:rFonts w:ascii="Times New Roman" w:hAnsi="Times New Roman"/>
        </w:rPr>
        <w:t>APPENDIX E. STATUS AND VERIFICATION MATRIX</w:t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r>
        <w:rPr>
          <w:b/>
          <w:sz w:val="18"/>
        </w:rPr>
        <w:t>Кроме того, раздел опирается на собственные допущения публикации:</w:t>
      </w:r>
    </w:p>
    <w:p>
      <w:pPr>
        <w:ind w:left="340" w:hanging="340"/>
      </w:pPr>
      <w:r>
        <w:rPr>
          <w:sz w:val="18"/>
        </w:rPr>
        <w:t>· Геометрия и вращение: радиус, длина, угловая скорость и искусственная гравитация представлены аналитическими соотношениями.</w:t>
      </w:r>
    </w:p>
    <w:p>
      <w:pPr>
        <w:ind w:left="340" w:hanging="340"/>
      </w:pPr>
      <w:r>
        <w:rPr>
          <w:sz w:val="18"/>
        </w:rPr>
        <w:t>· Geometry and rotation: radius, length, angular velocity and artificial gravity are given by analytical relations.</w:t>
      </w:r>
    </w:p>
    <w:p>
      <w:pPr>
        <w:ind w:left="340" w:hanging="340"/>
      </w:pPr>
      <w:r>
        <w:rPr>
          <w:sz w:val="18"/>
        </w:rPr>
        <w:t>· Несущая оболочка: напряжения и массовые оценки являются предварительными оценками первого уровня.</w:t>
      </w:r>
    </w:p>
    <w:p>
      <w:pPr>
        <w:ind w:left="340" w:hanging="340"/>
      </w:pPr>
      <w:r>
        <w:rPr>
          <w:sz w:val="18"/>
        </w:rPr>
        <w:t>· Load-bearing shell: stresses and mass estimates are first-level preliminary estimates.</w:t>
      </w:r>
    </w:p>
    <w:p>
      <w:pPr>
        <w:ind w:left="340" w:hanging="340"/>
      </w:pPr>
      <w:r>
        <w:rPr>
          <w:sz w:val="18"/>
        </w:rPr>
        <w:t>· Энергия и тепло: электрический, тепловой и радиаторный балансы являются стационарными оценками.</w:t>
      </w:r>
    </w:p>
    <w:p>
      <w:pPr>
        <w:ind w:left="340" w:hanging="340"/>
      </w:pPr>
      <w:r>
        <w:rPr>
          <w:sz w:val="18"/>
        </w:rPr>
        <w:t>· Energy and heat: electrical, thermal and radiator balances are steady-state estimates.</w:t>
      </w:r>
    </w:p>
    <w:p>
      <w:pPr>
        <w:ind w:left="340" w:hanging="340"/>
      </w:pPr>
      <w:r>
        <w:rPr>
          <w:sz w:val="18"/>
        </w:rPr>
        <w:t>· Биосфера: балансы газов, воды и продовольствия являются системной моделью и набором допущений.</w:t>
      </w:r>
    </w:p>
    <w:p>
      <w:pPr>
        <w:ind w:left="340" w:hanging="340"/>
      </w:pPr>
      <w:r>
        <w:rPr>
          <w:sz w:val="18"/>
        </w:rPr>
        <w:t>· Biosphere: gas, water and food balances are a system model and a set of assumptions.</w:t>
      </w:r>
    </w:p>
    <w:p>
      <w:pPr>
        <w:ind w:left="340" w:hanging="340"/>
      </w:pPr>
      <w:r>
        <w:rPr>
          <w:sz w:val="18"/>
        </w:rPr>
        <w:t>· Транспорт и стыковка: осевые рамы, цапфы, подшипниковые корпуса и переходные шахты являются концептуальной архитектурой.</w:t>
      </w:r>
    </w:p>
    <w:p>
      <w:pPr>
        <w:ind w:left="340" w:hanging="340"/>
      </w:pPr>
      <w:r>
        <w:rPr>
          <w:sz w:val="18"/>
        </w:rPr>
        <w:t>· Transport and docking: axial frames, trunnions, bearing housings and transition shafts are conceptual architecture.</w:t>
      </w:r>
    </w:p>
    <w:p>
      <w:pPr>
        <w:ind w:left="340" w:hanging="340"/>
      </w:pPr>
      <w:r>
        <w:rPr>
          <w:sz w:val="18"/>
        </w:rPr>
        <w:t>· Орбита L1: размещение в окрестности L1 и расход рабочего тела являются миссионными оценками.</w:t>
      </w:r>
    </w:p>
    <w:p>
      <w:pPr>
        <w:ind w:left="340" w:hanging="340"/>
      </w:pPr>
      <w:r>
        <w:rPr>
          <w:sz w:val="18"/>
        </w:rPr>
        <w:t>· L1 orbit: placement near L1 and propellant expenditure are mission-level estimates.</w:t>
      </w:r>
    </w:p>
    <w:p>
      <w:pPr>
        <w:ind w:left="340" w:hanging="340"/>
      </w:pPr>
      <w:r>
        <w:rPr>
          <w:sz w:val="18"/>
        </w:rPr>
        <w:t>· Правовые акты: Договор о принципах деятельности государств по исследованию и использованию космического пространства, 1967 г., ст. II, VI, VIII.</w:t>
      </w:r>
    </w:p>
    <w:p>
      <w:pPr>
        <w:ind w:left="340" w:hanging="340"/>
      </w:pPr>
      <w:r>
        <w:rPr>
          <w:sz w:val="18"/>
        </w:rPr>
        <w:t>· Legal acts: Outer Space Treaty, 1967, Articles II, VI, VIII.</w:t>
      </w:r>
    </w:p>
    <w:p>
      <w:pPr>
        <w:ind w:left="340" w:hanging="340"/>
      </w:pPr>
      <w:r>
        <w:rPr>
          <w:sz w:val="18"/>
        </w:rPr>
        <w:t>· Правовой статус: разделы о праве и управлении описывают сценарии и ограничения.</w:t>
      </w:r>
    </w:p>
    <w:p>
      <w:pPr>
        <w:ind w:left="340" w:hanging="340"/>
      </w:pPr>
      <w:r>
        <w:rPr>
          <w:sz w:val="18"/>
        </w:rPr>
        <w:t>· Legal status: the law and governance sections describe scenarios and constraints.</w:t>
      </w:r>
    </w:p>
    <w:p>
      <w:pPr>
        <w:ind w:left="340" w:hanging="340"/>
      </w:pPr>
      <w:r>
        <w:rPr>
          <w:sz w:val="18"/>
        </w:rPr>
        <w:t>· Данные о ресурсных телах: астероид (6178) 1986 DA, тип M, поперечник около 3 км.</w:t>
      </w:r>
    </w:p>
    <w:p>
      <w:pPr>
        <w:ind w:left="340" w:hanging="340"/>
      </w:pPr>
      <w:r>
        <w:rPr>
          <w:sz w:val="18"/>
        </w:rPr>
        <w:t>· Resource-body data: asteroid (6178) 1986 DA, type M, diameter about 3 km.</w:t>
      </w:r>
    </w:p>
    <w:p>
      <w:pPr>
        <w:ind w:left="340" w:hanging="340"/>
      </w:pPr>
      <w:r>
        <w:rPr>
          <w:sz w:val="18"/>
        </w:rPr>
        <w:t>· Технологические пределы: мировой рекорд стальной отливки — 270 т металла, готовая деталь 220 т.</w:t>
      </w:r>
    </w:p>
    <w:p>
      <w:pPr>
        <w:ind w:left="340" w:hanging="340"/>
      </w:pPr>
      <w:r>
        <w:rPr>
          <w:sz w:val="18"/>
        </w:rPr>
        <w:t>· Technological limits: world-record steel casting — 270 t of metal, 220 t component.</w:t>
      </w:r>
    </w:p>
    <w:p>
      <w:pPr>
        <w:ind w:left="340" w:hanging="340"/>
      </w:pPr>
      <w:r>
        <w:rPr>
          <w:sz w:val="18"/>
        </w:rPr>
        <w:t>· Эксперимент «Биосфера-2», 1991–1993 гг.: падение объёмной доли кислорода с 20,9 до 14,2 % за шестнадцать месяцев.</w:t>
      </w:r>
    </w:p>
    <w:p>
      <w:pPr>
        <w:ind w:left="340" w:hanging="340"/>
      </w:pPr>
      <w:r>
        <w:rPr>
          <w:sz w:val="18"/>
        </w:rPr>
        <w:t>· Biosphere 2 experiment, 1991–1993: oxygen volume fraction fell from 20.9 % to 14.2 % over sixteen months.</w:t>
      </w:r>
    </w:p>
    <w:p>
      <w:pPr>
        <w:ind w:left="340" w:hanging="340"/>
      </w:pPr>
      <w:r>
        <w:rPr>
          <w:sz w:val="18"/>
        </w:rPr>
        <w:t>· Нормативные величины: нормы потребления, санитарные пороги по кислороду и углекислому газу, нормы озеленения.</w:t>
      </w:r>
    </w:p>
    <w:p>
      <w:pPr>
        <w:ind w:left="340" w:hanging="340"/>
      </w:pPr>
      <w:r>
        <w:rPr>
          <w:sz w:val="18"/>
        </w:rPr>
        <w:t>· Regulatory values: consumption norms, health thresholds for oxygen and carbon dioxide, greening norms.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