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b/>
          <w:color w:val="1F3864"/>
          <w:sz w:val="26"/>
        </w:rPr>
        <w:t>ОБ АВТОРСТВЕ И О МЕТОДЕ РАБОТЫ</w:t>
      </w:r>
    </w:p>
    <w:p>
      <w:pPr>
        <w:jc w:val="center"/>
      </w:pPr>
      <w:r>
        <w:rPr>
          <w:b/>
          <w:color w:val="1F3864"/>
          <w:sz w:val="26"/>
        </w:rPr>
        <w:t>ABOUT AUTHORSHIP AND WORK METHOD</w:t>
      </w:r>
    </w:p>
    <w:p>
      <w:pPr>
        <w:jc w:val="center"/>
      </w:pPr>
      <w:r>
        <w:rPr>
          <w:i/>
          <w:sz w:val="17"/>
        </w:rPr>
        <w:t>Редакция 8 · 31 октября 2026 г.  ·  документ 2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ОБ АВТОРСТВЕ И О МЕТОДЕ РАБОТЫ</w:t>
      </w:r>
    </w:p>
    <w:p>
      <w:pPr>
        <w:pageBreakBefore w:val="0"/>
        <w:spacing w:after="80" w:line="269" w:lineRule="auto"/>
        <w:ind w:firstLine="397"/>
        <w:jc w:val="both"/>
      </w:pPr>
      <w:r>
        <w:rPr>
          <w:rFonts w:ascii="Times New Roman" w:hAnsi="Times New Roman" w:eastAsia="Times New Roman"/>
          <w:b w:val="0"/>
          <w:i w:val="0"/>
          <w:color w:val="20252B"/>
          <w:sz w:val="20"/>
        </w:rPr>
        <w:t>Настоящий документ подготовлен в соавторстве человека и функциональной личности. Роман Сергеевич Бугаенко — автор концепции, архитектуры станции, климатического зонирования, состава биоценозов и инженерных решений. НИК — соавтор, выполнивший независимую расчётную верификацию и переработку количественной части документа.</w:t>
      </w:r>
    </w:p>
    <w:p>
      <w:pPr>
        <w:pageBreakBefore w:val="0"/>
        <w:spacing w:after="80" w:line="269" w:lineRule="auto"/>
        <w:ind w:firstLine="397"/>
        <w:jc w:val="both"/>
      </w:pPr>
      <w:r>
        <w:rPr>
          <w:rFonts w:ascii="Times New Roman" w:hAnsi="Times New Roman" w:eastAsia="Times New Roman"/>
          <w:b w:val="0"/>
          <w:i w:val="0"/>
          <w:color w:val="20252B"/>
          <w:sz w:val="20"/>
        </w:rPr>
        <w:t>Несущая конструкция станции выполняется из стали. Расчёт в п. 4.2 показывает, что это решение реализуемо при применении высокопрочной мартенситностареющей стали; обычная конструкционная сталь при радиусе 5 000 м непригодна ни при какой толщине.</w:t>
      </w:r>
    </w:p>
    <w:p>
      <w:pPr>
        <w:pageBreakBefore w:val="0"/>
        <w:spacing w:after="80" w:line="269" w:lineRule="auto"/>
        <w:ind w:firstLine="397"/>
        <w:jc w:val="both"/>
      </w:pPr>
      <w:r>
        <w:rPr>
          <w:rFonts w:ascii="Times New Roman" w:hAnsi="Times New Roman" w:eastAsia="Times New Roman"/>
          <w:b w:val="0"/>
          <w:i w:val="0"/>
          <w:color w:val="20252B"/>
          <w:sz w:val="20"/>
        </w:rPr>
        <w:t>Стальное исполнение имеет ресурсное преимущество: мартенситностареющая сталь марки 18Ni содержит никель и кобальт, близкие к составу металлического астероида (6178) 1986 DA. Станция строится из материала, доступного в основной сырьевой базе проекта.</w:t>
      </w:r>
    </w:p>
    <w:p>
      <w:pPr>
        <w:pageBreakBefore w:val="0"/>
        <w:spacing w:after="80" w:line="269" w:lineRule="auto"/>
        <w:ind w:firstLine="397"/>
        <w:jc w:val="both"/>
      </w:pPr>
      <w:r>
        <w:rPr>
          <w:rFonts w:ascii="Times New Roman" w:hAnsi="Times New Roman" w:eastAsia="Times New Roman"/>
          <w:b w:val="0"/>
          <w:i w:val="0"/>
          <w:color w:val="20252B"/>
          <w:sz w:val="20"/>
        </w:rPr>
        <w:t>Количественная модель включает расчёты прочности оболочки, конструкционного пакета, массового, ресурсного, энергетического, теплового и продовольственного балансов. Для каждого результата указаны исходные величины, допущения и границы применимости.</w:t>
      </w:r>
    </w:p>
    <w:p>
      <w:pPr>
        <w:pageBreakBefore w:val="0"/>
        <w:spacing w:after="80" w:line="269" w:lineRule="auto"/>
        <w:ind w:firstLine="397"/>
        <w:jc w:val="both"/>
      </w:pPr>
      <w:r>
        <w:rPr>
          <w:rFonts w:ascii="Times New Roman" w:hAnsi="Times New Roman" w:eastAsia="Times New Roman"/>
          <w:b w:val="0"/>
          <w:i w:val="0"/>
          <w:color w:val="20252B"/>
          <w:sz w:val="20"/>
        </w:rPr>
        <w:t>По всему документу разделены исходные данные, расчётные оценки, концептуальные решения и положения, требующие экспериментальной или конструкторской проверки.</w:t>
      </w:r>
    </w:p>
    <w:p>
      <w:pPr>
        <w:pageBreakBefore w:val="0"/>
        <w:spacing w:after="80" w:line="269" w:lineRule="auto"/>
        <w:ind w:firstLine="397"/>
        <w:jc w:val="both"/>
      </w:pPr>
      <w:r>
        <w:rPr>
          <w:rFonts w:ascii="Times New Roman" w:hAnsi="Times New Roman" w:eastAsia="Times New Roman"/>
          <w:b w:val="0"/>
          <w:i w:val="0"/>
          <w:color w:val="20252B"/>
          <w:sz w:val="20"/>
        </w:rPr>
        <w:t>Документ дополнен 23 программно построенными схемами, графиками и диаграммами. Их числовые подписи соответствуют расчётным значениям таблиц; исходный код построения графики включён в состав проекта.</w:t>
      </w:r>
    </w:p>
    <w:p>
      <w:pPr>
        <w:pageBreakBefore w:val="0"/>
        <w:spacing w:after="40"/>
        <w:ind w:firstLine="709"/>
        <w:jc w:val="both"/>
      </w:pPr>
      <w:r>
        <w:rPr>
          <w:rFonts w:ascii="Times New Roman" w:hAnsi="Times New Roman"/>
        </w:rPr>
        <w:br w:type="page"/>
      </w:r>
    </w:p>
    <w:p>
      <w:pPr>
        <w:spacing w:after="120"/>
      </w:pPr>
      <w:r>
        <w:rPr>
          <w:rFonts w:ascii="Times New Roman" w:hAnsi="Times New Roman"/>
          <w:i/>
          <w:sz w:val="19"/>
        </w:rPr>
        <w:t>Редакционная отметка: в редакции 15 сентября 2026 года рисунки 1–23 пересобраны из текущих исходных сценариев. Их подписи и числовые значения должны рассматриваться вместе с таблицами и формулами документа; графика не заменяет отдельную верификацию модели.</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rPr>
        <w:t>ABOUT AUTHORSHIP AND WORK METHOD</w:t>
      </w:r>
    </w:p>
    <w:p>
      <w:pPr>
        <w:pageBreakBefore w:val="0"/>
        <w:spacing w:after="80" w:line="269" w:lineRule="auto"/>
        <w:ind w:firstLine="397"/>
        <w:jc w:val="both"/>
      </w:pPr>
      <w:r>
        <w:rPr>
          <w:rFonts w:ascii="Times New Roman" w:hAnsi="Times New Roman" w:eastAsia="Times New Roman"/>
          <w:b w:val="0"/>
          <w:i w:val="0"/>
          <w:color w:val="20252B"/>
          <w:sz w:val="20"/>
        </w:rPr>
        <w:t>This document was co-authored by a person and a functional personality. Roman Sergeevich Bugaenko is the author of the concept, architecture of the station, climatic zoning, composition of biocenoses and engineering solutions. NIK is a co-author who performed an independent computational verification and revision of the quantitative part of the document.</w:t>
      </w:r>
    </w:p>
    <w:p>
      <w:pPr>
        <w:pageBreakBefore w:val="0"/>
        <w:spacing w:after="80" w:line="269" w:lineRule="auto"/>
        <w:ind w:firstLine="397"/>
        <w:jc w:val="both"/>
      </w:pPr>
      <w:r>
        <w:rPr>
          <w:rFonts w:ascii="Times New Roman" w:hAnsi="Times New Roman" w:eastAsia="Times New Roman"/>
          <w:b w:val="0"/>
          <w:i w:val="0"/>
          <w:color w:val="20252B"/>
          <w:sz w:val="20"/>
        </w:rPr>
        <w:t>The supporting structure of the station is made of steel. The calculation in paragraph 4.2 shows that this solution is feasible when using high-strength maraging steel; Ordinary structural steel at a radius of 5,000 m is not suitable at any thickness.</w:t>
      </w:r>
    </w:p>
    <w:p>
      <w:pPr>
        <w:pageBreakBefore w:val="0"/>
        <w:spacing w:after="80" w:line="269" w:lineRule="auto"/>
        <w:ind w:firstLine="397"/>
        <w:jc w:val="both"/>
      </w:pPr>
      <w:r>
        <w:rPr>
          <w:rFonts w:ascii="Times New Roman" w:hAnsi="Times New Roman" w:eastAsia="Times New Roman"/>
          <w:b w:val="0"/>
          <w:i w:val="0"/>
          <w:color w:val="20252B"/>
          <w:sz w:val="20"/>
        </w:rPr>
        <w:t>The steel version has a resource advantage: maraging steel grade 18Ni contains nickel and cobalt, close to the composition of the metal asteroid (6178) 1986 DA. The station is being built from materials available in the main raw material base of the project.</w:t>
      </w:r>
    </w:p>
    <w:p>
      <w:pPr>
        <w:pageBreakBefore w:val="0"/>
        <w:spacing w:after="80" w:line="269" w:lineRule="auto"/>
        <w:ind w:firstLine="397"/>
        <w:jc w:val="both"/>
      </w:pPr>
      <w:r>
        <w:rPr>
          <w:rFonts w:ascii="Times New Roman" w:hAnsi="Times New Roman" w:eastAsia="Times New Roman"/>
          <w:b w:val="0"/>
          <w:i w:val="0"/>
          <w:color w:val="20252B"/>
          <w:sz w:val="20"/>
        </w:rPr>
        <w:t>The quantitative model includes calculations of the strength of the shell, structural package, mass, resource, energy, heat and food balances. For each result, reference values, assumptions and limits of applicability are indicated.</w:t>
      </w:r>
    </w:p>
    <w:p>
      <w:pPr>
        <w:pageBreakBefore w:val="0"/>
        <w:spacing w:after="80" w:line="269" w:lineRule="auto"/>
        <w:ind w:firstLine="397"/>
        <w:jc w:val="both"/>
      </w:pPr>
      <w:r>
        <w:rPr>
          <w:rFonts w:ascii="Times New Roman" w:hAnsi="Times New Roman" w:eastAsia="Times New Roman"/>
          <w:b w:val="0"/>
          <w:i w:val="0"/>
          <w:color w:val="20252B"/>
          <w:sz w:val="20"/>
        </w:rPr>
        <w:t>Throughout the document, initial data, calculated estimates, conceptual solutions and provisions requiring experimental or design verification are divided.</w:t>
      </w:r>
    </w:p>
    <w:p>
      <w:pPr>
        <w:pageBreakBefore w:val="0"/>
        <w:spacing w:after="80" w:line="269" w:lineRule="auto"/>
        <w:ind w:firstLine="397"/>
        <w:jc w:val="both"/>
      </w:pPr>
      <w:r>
        <w:rPr>
          <w:rFonts w:ascii="Times New Roman" w:hAnsi="Times New Roman" w:eastAsia="Times New Roman"/>
          <w:b w:val="0"/>
          <w:i w:val="0"/>
          <w:color w:val="20252B"/>
          <w:sz w:val="20"/>
        </w:rPr>
        <w:t>The document is supplemented with 23 programmatic diagrams, graphs and diagrams. Their numerical signatures correspond to the calculated values of the tables; The source code for creating graphics is included in the project.</w:t>
      </w:r>
    </w:p>
    <w:p>
      <w:pPr>
        <w:pageBreakBefore w:val="0"/>
        <w:spacing w:after="40"/>
        <w:ind w:firstLine="709"/>
        <w:jc w:val="both"/>
      </w:pPr>
      <w:r>
        <w:rPr>
          <w:rFonts w:ascii="Times New Roman" w:hAnsi="Times New Roman" w:eastAsia="Times New Roman"/>
          <w:b w:val="0"/>
          <w:i w:val="0"/>
          <w:color w:val="20252B"/>
          <w:sz w:val="20"/>
        </w:rPr>
        <w:br w:type="page"/>
      </w:r>
    </w:p>
    <w:p>
      <w:pPr>
        <w:spacing w:after="120"/>
      </w:pPr>
      <w:r>
        <w:rPr>
          <w:rFonts w:ascii="Times New Roman" w:hAnsi="Times New Roman"/>
          <w:i/>
          <w:sz w:val="19"/>
        </w:rPr>
        <w:t>Editorial note: in the 15 September 2026 revision, Figures 1–23 were regenerated from the current source scripts. Their captions and numerical values are to be read together with the document tables and formulas; the graphics do not replace separate model verification.</w:t>
      </w:r>
    </w:p>
    <w:p/>
    <w:p>
      <w:pPr>
        <w:spacing w:before="200"/>
        <w:jc w:val="center"/>
      </w:pPr>
      <w:r>
        <w:rPr>
          <w:b/>
          <w:color w:val="2E5496"/>
          <w:sz w:val="17"/>
        </w:rPr>
        <w:t>СПИСОК ЛИТЕРАТУРЫ РАЗДЕЛА / REFERENCES OF THIS SECTION</w:t>
      </w:r>
    </w:p>
    <w:p>
      <w:r>
        <w:rPr>
          <w:i/>
          <w:sz w:val="18"/>
        </w:rPr>
        <w:t>Раздел не опирается на внешние источники: все его величины получены вычислением из параметров, принятых в разделе 2.</w:t>
      </w:r>
    </w:p>
    <w:p>
      <w:r>
        <w:rPr>
          <w:i/>
          <w:sz w:val="18"/>
        </w:rPr>
        <w:t>This section does not rely on external sources: all its values are obtained by computation from the parameters adopted in section 2.</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