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18"/>
        </w:rPr>
        <w:t>ММОСО'Н — модуль моделирования орбитальной станции О'Нилла</w:t>
      </w:r>
    </w:p>
    <w:p>
      <w:pPr>
        <w:jc w:val="center"/>
      </w:pPr>
      <w:r>
        <w:rPr>
          <w:i/>
          <w:sz w:val="18"/>
        </w:rPr>
        <w:t>Раздел 2 / Section 2</w:t>
      </w:r>
    </w:p>
    <w:p>
      <w:pPr>
        <w:jc w:val="center"/>
      </w:pPr>
      <w:r>
        <w:rPr>
          <w:b/>
          <w:color w:val="1F3864"/>
          <w:sz w:val="26"/>
        </w:rPr>
        <w:t>2. ФИЗИЧЕСКИЕ ПРИНЦИПЫ И РАСЧЁТНЫЕ ПАРАМЕТРЫ</w:t>
      </w:r>
    </w:p>
    <w:p>
      <w:pPr>
        <w:jc w:val="center"/>
      </w:pPr>
      <w:r>
        <w:rPr>
          <w:b/>
          <w:color w:val="1F3864"/>
          <w:sz w:val="26"/>
        </w:rPr>
        <w:t>2. PHYSICAL PRINCIPLES AND DESIGN PARAMETERS</w:t>
      </w:r>
    </w:p>
    <w:p>
      <w:pPr>
        <w:jc w:val="center"/>
      </w:pPr>
      <w:r>
        <w:rPr>
          <w:i/>
          <w:sz w:val="17"/>
        </w:rPr>
        <w:t>Редакция 8 · 31 октября 2026 г.  ·  документ 4 из 43</w:t>
      </w:r>
    </w:p>
    <w:p>
      <w:pPr>
        <w:jc w:val="center"/>
      </w:pPr>
      <w:r>
        <w:rPr>
          <w:color w:val="808080"/>
          <w:sz w:val="16"/>
        </w:rPr>
        <w:t>——————————————————————————————————</w:t>
      </w:r>
    </w:p>
    <w:p>
      <w:pPr>
        <w:spacing w:before="200"/>
        <w:jc w:val="center"/>
      </w:pPr>
      <w:r>
        <w:rPr>
          <w:b/>
          <w:color w:val="2E5496"/>
          <w:sz w:val="17"/>
        </w:rPr>
        <w:t>РУССКАЯ РЕДАКЦИЯ / РУССКИЙ ТЕКСТ</w:t>
      </w:r>
    </w:p>
    <w:p>
      <w:pPr>
        <w:pStyle w:val="Heading1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30"/>
        </w:rPr>
        <w:t>2. ФИЗИЧЕСКИЕ ПРИНЦИПЫ И РАСЧЁТНЫЕ ПАРАМЕТРЫ</w:t>
      </w:r>
    </w:p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2F5D83"/>
          <w:sz w:val="25"/>
        </w:rPr>
        <w:t>2.1. Искусственная гравитация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Искусственная гравитация создаётся посредством вращения цилиндра вокруг продольной оси. Величина центростремительного ускорения определяется формулой:</w:t>
      </w:r>
    </w:p>
    <w:p>
      <w:pPr>
        <w:pageBreakBefore w:val="0"/>
        <w:spacing w:after="80" w:line="269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a = ω² · R</w:t>
      </w:r>
    </w:p>
    <w:p>
      <w:pPr>
        <w:pageBreakBefore w:val="0"/>
        <w:spacing w:after="80" w:line="269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где a — центростремительное ускорение (м/с²); ω — угловая скорость вращения (рад/с); R — радиус цилиндра (м).</w:t>
      </w:r>
    </w:p>
    <w:p>
      <w:pPr>
        <w:pageBreakBefore w:val="0"/>
        <w:spacing w:after="80" w:line="269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Расчёт для создания земной гравитации (a = 9,81 м/с²):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Верификация: расчёт подтверждён независимо (ω = 0,04429 рад/с; 0,4230 об/мин; T = 141,9 с). Частота вращения 0,423 об/мин в пять раз ниже общепринятого порога комфорта 2 об/мин, что является одним из сильнейших мест проекта.</w:t>
      </w:r>
    </w:p>
    <w:p>
      <w:pPr>
        <w:pageBreakBefore w:val="0"/>
        <w:spacing w:after="4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040000" cy="2625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5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pageBreakBefore w:val="0"/>
        <w:spacing w:after="100" w:before="100"/>
        <w:jc w:val="center"/>
      </w:pPr>
      <w:r>
        <w:rPr>
          <w:rFonts w:ascii="Times New Roman" w:hAnsi="Times New Roman" w:eastAsia="Times New Roman"/>
          <w:b/>
          <w:i/>
          <w:color w:val="667085"/>
          <w:sz w:val="17"/>
        </w:rPr>
        <w:t>Рисунок 2 — тяжесть и окружная скорость в зависимости от радиуса</w:t>
      </w:r>
    </w:p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2F5D83"/>
          <w:sz w:val="25"/>
        </w:rPr>
        <w:t>2.2. Градиент гравитации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Важной характеристикой является изменение величины гравитации по высоте. Для человека ростом h = 2 м: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Данный градиент является физиологически незаметным для вестибулярного аппарата человека.</w:t>
      </w:r>
    </w:p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2F5D83"/>
          <w:sz w:val="25"/>
        </w:rPr>
        <w:t>2.3. Эффект Кориолиса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При движении объектов внутри вращающейся системы отсчёта возникает сила Кориолиса:</w:t>
      </w:r>
    </w:p>
    <w:p>
      <w:pPr>
        <w:pageBreakBefore w:val="0"/>
        <w:spacing w:after="80" w:line="269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Fc = 2m(ω × v)</w:t>
      </w:r>
    </w:p>
    <w:p>
      <w:pPr>
        <w:pageBreakBefore w:val="0"/>
        <w:spacing w:after="80" w:line="269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Для пешехода, движущегося со скоростью v = 1,5 м/с вдоль оси цилиндра: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Данное ускорение является минимальным и не вызывает дискомфорта или дезориентации. Верификация подтверждает: 0,1329 м/с² = 0,0135 g.</w:t>
      </w:r>
    </w:p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2F5D83"/>
          <w:sz w:val="25"/>
        </w:rPr>
        <w:t>2.4. Климатическое зонирование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Ось станции фиксирована в инерциальном пространстве и не ориентируется на Солнце. Внутреннее освещение и световой климат обеспечиваются реакторными осевыми светотепловыми балками; тепло отводится отдельными радиаторными контурами на неподвижных узлах. Поворота всей станции для слежения за Солнцем не требуется.</w:t>
      </w:r>
    </w:p>
    <w:p>
      <w:pPr>
        <w:pStyle w:val="Caption"/>
        <w:keepNext w:val="0"/>
        <w:pageBreakBefore w:val="0"/>
        <w:spacing w:after="100" w:before="100"/>
        <w:jc w:val="center"/>
      </w:pPr>
      <w:r>
        <w:rPr>
          <w:rFonts w:ascii="Times New Roman" w:hAnsi="Times New Roman" w:eastAsia="Times New Roman"/>
          <w:b/>
          <w:i/>
          <w:color w:val="667085"/>
          <w:sz w:val="17"/>
        </w:rPr>
        <w:t>Таблица 2.1 — Климатическое зонирование цилиндрической части (длина 40 км)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</w:trP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Зона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Расстояние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Температура, °C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Влажность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Осадки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Тропическая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0–10 км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+28 … +35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70–85 %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Обильные, частые дожди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Субтропическая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10–22 км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+15 … +28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60–70 %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Сезонные, умеренные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Умеренная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22–32 км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0 … +15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55–65 %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Умеренные, зимой снег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Холодная (арктическая)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32–40 км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–5 … –15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40–50 %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Снег, изморозь, редкие</w:t>
            </w:r>
          </w:p>
        </w:tc>
      </w:tr>
    </w:tbl>
    <w:p>
      <w:pPr>
        <w:pageBreakBefore w:val="0"/>
        <w:spacing w:after="4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400000" cy="3017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pageBreakBefore w:val="0"/>
        <w:spacing w:after="100" w:before="100"/>
        <w:jc w:val="center"/>
      </w:pPr>
      <w:r>
        <w:rPr>
          <w:rFonts w:ascii="Times New Roman" w:hAnsi="Times New Roman" w:eastAsia="Times New Roman"/>
          <w:b/>
          <w:i/>
          <w:color w:val="667085"/>
          <w:sz w:val="17"/>
        </w:rPr>
        <w:t>Рисунок 3 — климатическое зонирование по длине цилиндра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Торцевые полусферы являются техническими зонами и имеют отдельные системы климат-контроля:</w:t>
      </w:r>
    </w:p>
    <w:p>
      <w:pPr>
        <w:pStyle w:val="ListBullet"/>
        <w:pageBreakBefore w:val="0"/>
        <w:spacing w:after="80" w:line="269" w:lineRule="auto"/>
        <w:ind w:firstLine="709" w:left="56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Передняя полусфера (центр управления): +20…+22 °C, влажность ~50 %.</w:t>
      </w:r>
    </w:p>
    <w:p>
      <w:pPr>
        <w:pStyle w:val="ListBullet"/>
        <w:pageBreakBefore w:val="0"/>
        <w:spacing w:after="80" w:line="269" w:lineRule="auto"/>
        <w:ind w:left="567"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Задняя полусфера (склады, промышленность, стоянка и обслуживание техники): от +5 до +15 °C в зависимости от технологических нужд, влажность 40–60 %.</w:t>
      </w:r>
    </w:p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2F5D83"/>
          <w:sz w:val="25"/>
        </w:rPr>
        <w:t>2.5. Экосистема и селекционные формы обитателей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Экосистема проектируется как полностью управляемая и безопасная для человека. Все животные лишены рогов и хищнических наклонностей, они либо травоядны, либо всеядны (но не охотятся на других позвоночных). Каждый вид даёт человеку полезную продукцию.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Важное примечание по холодной (арктической) зоне: из-за отрицательных температур открытый грунт используется только для выращивания многолетних морозостойких культур (ягель, брусника, голубика, клюква, морошка, мхи). Теплолюбивые овощи, зелень и грибы в холодной зоне не выращиваются: они размещаются в тропической и субтропической зонах, где реакторные осевые балки дают достаточный световой поток, а климатическая система поддерживает требуемое тепло (обоснование — приложение Б, п. Б.12). Отапливаемых теплиц и гидропонных установок в холодной зоне не предусматривается. Овощи, зелень и лекарственные травы размещаются в субтропической зоне, грибы — в умеренной (п. Б.12). Опытные посадки и семенной материал также размещаются в тёплых зонах. Животные содержатся в утеплённых помещениях с обогревом.</w:t>
      </w:r>
    </w:p>
    <w:p>
      <w:pPr>
        <w:pageBreakBefore w:val="0"/>
        <w:spacing w:after="40"/>
        <w:ind w:firstLine="709"/>
        <w:jc w:val="both"/>
      </w:pPr>
      <w:r>
        <w:rPr>
          <w:rFonts w:ascii="Times New Roman" w:hAnsi="Times New Roman"/>
        </w:rPr>
        <w:br w:type="page"/>
      </w:r>
    </w:p>
    <w:p>
      <w:pPr>
        <w:spacing w:before="200"/>
        <w:jc w:val="center"/>
      </w:pPr>
      <w:r>
        <w:rPr>
          <w:b/>
          <w:color w:val="2E5496"/>
          <w:sz w:val="17"/>
        </w:rPr>
        <w:t>ENGLISH EDITION</w:t>
      </w:r>
    </w:p>
    <w:p>
      <w:pPr>
        <w:pStyle w:val="Heading1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2. PHYSICAL PRINCIPLES AND DESIGN PARAMETERS</w:t>
      </w:r>
    </w:p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2.1. Artificial gravity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Artificial gravity is created by rotating the cylinder around its longitudinal axis. The magnitude of centripetal acceleration is determined by the formula:</w:t>
      </w:r>
    </w:p>
    <w:p>
      <w:pPr>
        <w:pageBreakBefore w:val="0"/>
        <w:spacing w:after="80" w:line="269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a = ω² · R</w:t>
      </w:r>
    </w:p>
    <w:p>
      <w:pPr>
        <w:pageBreakBefore w:val="0"/>
        <w:spacing w:after="80" w:line="269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where a is centripetal acceleration (m/s²); ω—angular velocity of rotation (rad/s); R is the radius of the cylinder (m).</w:t>
      </w:r>
    </w:p>
    <w:p>
      <w:pPr>
        <w:pageBreakBefore w:val="0"/>
        <w:spacing w:after="80" w:line="269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Calculation for creating earth gravity (a = 9.81 m/s²):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Verification: the calculation was independently confirmed (ω = 0.04429 rad/s; 0.4230 rpm; T = 141.9 s). The rotation speed of 0.423 rpm is five times lower than the generally accepted comfort threshold of 2 rpm, which is one of the design's strongest points.</w:t>
      </w:r>
    </w:p>
    <w:p>
      <w:pPr>
        <w:pageBreakBefore w:val="0"/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drawing>
          <wp:inline xmlns:a="http://schemas.openxmlformats.org/drawingml/2006/main" xmlns:pic="http://schemas.openxmlformats.org/drawingml/2006/picture">
            <wp:extent cx="5040000" cy="2625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5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pageBreakBefore w:val="0"/>
        <w:spacing w:after="100" w:before="100"/>
        <w:jc w:val="center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Figure 2 - gravity and peripheral speed depending on the radius</w:t>
      </w:r>
    </w:p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2.2. Gravity Gradient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An important characteristic is the change in the magnitude of gravity with height. For a person with height h = 2 m: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This gradient is physiologically invisible to the human vestibular apparatus.</w:t>
      </w:r>
    </w:p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2.3. Coriolis effect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When objects move inside a rotating reference frame, the Coriolis force arises:</w:t>
      </w:r>
    </w:p>
    <w:p>
      <w:pPr>
        <w:pageBreakBefore w:val="0"/>
        <w:spacing w:after="80" w:line="269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Fc = 2m(ω × v)</w:t>
      </w:r>
    </w:p>
    <w:p>
      <w:pPr>
        <w:pageBreakBefore w:val="0"/>
        <w:spacing w:after="80" w:line="269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For a pedestrian moving at a speed v = 1.5 m/s along the cylinder axis: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This acceleration is minimal and does not cause discomfort or disorientation. Verification confirms: 0.1329 m/s² = 0.0135 g.</w:t>
      </w:r>
    </w:p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2.4. Climatic zoning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The station's axis is fixed in inertial space and is not oriented towards the Sun. Internal lighting and light climate are provided by reactor axial light-thermal beams; heat is removed by separate radiator circuits on fixed components. There is no need to rotate the entire station to track the Sun.</w:t>
      </w:r>
    </w:p>
    <w:p>
      <w:pPr>
        <w:pStyle w:val="Caption"/>
        <w:keepNext w:val="0"/>
        <w:pageBreakBefore w:val="0"/>
        <w:spacing w:after="100" w:before="100"/>
        <w:jc w:val="center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Table 2.1 - Climatic zoning of the cylindrical part (length 40 km)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</w:trP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Zone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Distance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Temperature, °C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Humidity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Precipitation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Tropical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0–10 km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+28 … +35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70–85 %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Heavy, frequent rains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Subtropical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10–22 km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+15 … +28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60–70 %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Seasonal, moderate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Moderate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22–32 km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0 … +15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55–65 %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Moderate, snow in winter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Cold (arctic)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32–40 km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–5 … –15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40–50 %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Snow, frost, rare</w:t>
            </w:r>
          </w:p>
        </w:tc>
      </w:tr>
    </w:tbl>
    <w:p>
      <w:pPr>
        <w:pageBreakBefore w:val="0"/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drawing>
          <wp:inline xmlns:a="http://schemas.openxmlformats.org/drawingml/2006/main" xmlns:pic="http://schemas.openxmlformats.org/drawingml/2006/picture">
            <wp:extent cx="5400000" cy="3017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pageBreakBefore w:val="0"/>
        <w:spacing w:after="100" w:before="100"/>
        <w:jc w:val="center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Figure 3 - climatic zoning along the length of the cylinder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The end hemispheres are technical areas and have separate climate control systems:</w:t>
      </w:r>
    </w:p>
    <w:p>
      <w:pPr>
        <w:pStyle w:val="ListBullet"/>
        <w:pageBreakBefore w:val="0"/>
        <w:spacing w:after="80" w:line="269" w:lineRule="auto"/>
        <w:ind w:firstLine="709" w:left="56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Forward hemisphere (control center): +20…+22 °C, humidity ~50%.</w:t>
      </w:r>
    </w:p>
    <w:p>
      <w:pPr>
        <w:pStyle w:val="ListBullet"/>
        <w:pageBreakBefore w:val="0"/>
        <w:spacing w:after="80" w:line="269" w:lineRule="auto"/>
        <w:ind w:left="567"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Rear hemisphere (warehouses, industry, parking and maintenance of equipment): from +5 to +15 °C depending on technological needs, humidity 40–60%.</w:t>
      </w:r>
    </w:p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2.5. Ecosystem and selection forms of inhabitants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The ecosystem is designed to be completely manageable and safe for humans. All animals lack horns and predatory tendencies; they are either herbivores or omnivores (but do not hunt other vertebrates). Each species provides useful products to humans.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Important note about the cold (arctic) zone: due to negative temperatures, open ground is used only for growing perennial frost-resistant crops (moss moss, lingonberries, blueberries, cranberries, cloudberries, mosses). Heat-loving vegetables, herbs and mushrooms are not grown in the cold zone: they are placed in the tropical and subtropical zones, where the reactor axial beams provide sufficient light flux, and the climate system maintains the required heat (justification - Appendix B, paragraph B.12). Heated greenhouses and hydroponic installations are not provided in the cold zone. Vegetables, herbs and medicinal herbs are located in the subtropical zone, mushrooms - in the temperate zone (clause B.12). Experimental plantings and seed material are also placed in warm zones. Animals are kept in insulated, heated rooms.</w:t>
      </w:r>
    </w:p>
    <w:p>
      <w:pPr>
        <w:pageBreakBefore w:val="0"/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br w:type="page"/>
      </w:r>
    </w:p>
    <w:p/>
    <w:p>
      <w:pPr>
        <w:spacing w:before="200"/>
        <w:jc w:val="center"/>
      </w:pPr>
      <w:r>
        <w:rPr>
          <w:b/>
          <w:color w:val="2E5496"/>
          <w:sz w:val="17"/>
        </w:rPr>
        <w:t>СПИСОК ЛИТЕРАТУРЫ РАЗДЕЛА / REFERENCES OF THIS SECTION</w:t>
      </w:r>
    </w:p>
    <w:p>
      <w:pPr>
        <w:ind w:left="340" w:hanging="340"/>
      </w:pPr>
      <w:r>
        <w:rPr>
          <w:sz w:val="18"/>
        </w:rPr>
        <w:t>1. O’Neill G. K. The Colonization of Space // Physics Today. 1974. Vol. 27, No. 9. P. 32–40. doi:10.1063/1.3128863.</w:t>
      </w:r>
    </w:p>
    <w:p>
      <w:pPr>
        <w:ind w:left="340" w:hanging="340"/>
      </w:pPr>
      <w:r>
        <w:rPr>
          <w:sz w:val="18"/>
        </w:rPr>
        <w:t>1. O’Neill G. K. The Colonization of Space // Physics Today. 1974. Vol. 27, No. 9. P. 32–40. doi:10.1063/1.3128863.</w:t>
      </w:r>
    </w:p>
    <w:p>
      <w:pPr>
        <w:ind w:left="340" w:hanging="340"/>
      </w:pPr>
      <w:r>
        <w:rPr>
          <w:sz w:val="18"/>
        </w:rPr>
        <w:t>2. O’Neill G. K. The High Frontier: Human Colonies in Space. New York: William Morrow, 1977.</w:t>
      </w:r>
    </w:p>
    <w:p>
      <w:pPr>
        <w:ind w:left="340" w:hanging="340"/>
      </w:pPr>
      <w:r>
        <w:rPr>
          <w:sz w:val="18"/>
        </w:rPr>
        <w:t>2. O’Neill G. K. The High Frontier: Human Colonies in Space. New York: William Morrow, 1977.</w:t>
      </w:r>
    </w:p>
    <w:p>
      <w:pPr>
        <w:ind w:left="340" w:hanging="340"/>
      </w:pPr>
      <w:r>
        <w:rPr>
          <w:sz w:val="18"/>
        </w:rPr>
        <w:t>3. Johnson R. D., Holbrow C. (eds.). Space Settlements: A Design Study. NASA SP-413. Washington: NASA Scientific and Technical Information Office, 1977.</w:t>
      </w:r>
    </w:p>
    <w:p>
      <w:pPr>
        <w:ind w:left="340" w:hanging="340"/>
      </w:pPr>
      <w:r>
        <w:rPr>
          <w:sz w:val="18"/>
        </w:rPr>
        <w:t>3. Johnson R. D., Holbrow C. (eds.). Space Settlements: A Design Study. NASA SP-413. Washington: NASA Scientific and Technical Information Office, 1977.</w:t>
      </w:r>
    </w:p>
    <w:p>
      <w:r>
        <w:rPr>
          <w:b/>
          <w:sz w:val="18"/>
        </w:rPr>
        <w:t>Кроме того, раздел опирается на собственные допущения публикации:</w:t>
      </w:r>
    </w:p>
    <w:p>
      <w:pPr>
        <w:ind w:left="340" w:hanging="340"/>
      </w:pPr>
      <w:r>
        <w:rPr>
          <w:sz w:val="18"/>
        </w:rPr>
        <w:t>· Несущая оболочка: напряжения и массовые оценки являются предварительными оценками первого уровня.</w:t>
      </w:r>
    </w:p>
    <w:p>
      <w:pPr>
        <w:ind w:left="340" w:hanging="340"/>
      </w:pPr>
      <w:r>
        <w:rPr>
          <w:sz w:val="18"/>
        </w:rPr>
        <w:t>· Load-bearing shell: stresses and mass estimates are first-level preliminary estimates.</w:t>
      </w:r>
    </w:p>
    <w:p>
      <w:pPr>
        <w:ind w:left="340" w:hanging="340"/>
      </w:pPr>
      <w:r>
        <w:rPr>
          <w:sz w:val="18"/>
        </w:rPr>
        <w:t>· Энергия и тепло: электрический, тепловой и радиаторный балансы являются стационарными оценками.</w:t>
      </w:r>
    </w:p>
    <w:p>
      <w:pPr>
        <w:ind w:left="340" w:hanging="340"/>
      </w:pPr>
      <w:r>
        <w:rPr>
          <w:sz w:val="18"/>
        </w:rPr>
        <w:t>· Energy and heat: electrical, thermal and radiator balances are steady-state estimates.</w:t>
      </w:r>
    </w:p>
    <w:p>
      <w:pPr>
        <w:ind w:left="340" w:hanging="340"/>
      </w:pPr>
      <w:r>
        <w:rPr>
          <w:sz w:val="18"/>
        </w:rPr>
        <w:t>· Геометрия и вращение: радиус, длина, угловая скорость и искусственная гравитация представлены аналитическими соотношениями.</w:t>
      </w:r>
    </w:p>
    <w:p>
      <w:pPr>
        <w:ind w:left="340" w:hanging="340"/>
      </w:pPr>
      <w:r>
        <w:rPr>
          <w:sz w:val="18"/>
        </w:rPr>
        <w:t>· Geometry and rotation: radius, length, angular velocity and artificial gravity are given by analytical relations.</w:t>
      </w:r>
    </w:p>
    <w:sectPr w:rsidR="00FC693F" w:rsidRPr="0006063C" w:rsidSect="00034616">
      <w:pgSz w:w="11906" w:h="16838"/>
      <w:pgMar w:top="1134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1F38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