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6 / Section 6</w:t>
      </w:r>
    </w:p>
    <w:p>
      <w:pPr>
        <w:jc w:val="center"/>
      </w:pPr>
      <w:r>
        <w:rPr>
          <w:b/>
          <w:color w:val="1F3864"/>
          <w:sz w:val="26"/>
        </w:rPr>
        <w:t>6. СРЕДООБРАЗОВАНИЕ: ПРОЦЕССЫ, ОПРЕДЕЛЯЮЩИЕ ПРИГОДНОСТЬ СРЕДЫ</w:t>
      </w:r>
    </w:p>
    <w:p>
      <w:pPr>
        <w:jc w:val="center"/>
      </w:pPr>
      <w:r>
        <w:rPr>
          <w:b/>
          <w:color w:val="1F3864"/>
          <w:sz w:val="26"/>
        </w:rPr>
        <w:t>6. ENVIRONMENT FORMATION: PROCESSES DETERMINING THE SUITABILITY OF THE ENVIRONMENT</w:t>
      </w:r>
    </w:p>
    <w:p>
      <w:pPr>
        <w:jc w:val="center"/>
      </w:pPr>
      <w:r>
        <w:rPr>
          <w:i/>
          <w:sz w:val="17"/>
        </w:rPr>
        <w:t>Редакция 8 · 31 октября 2026 г.  ·  документ 8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6. СРЕДООБРАЗОВАНИЕ: ПРОЦЕССЫ, ОПРЕДЕЛЯЮЩИЕ ПРИГОДНОСТЬ СРЕДЫ</w:t>
      </w:r>
    </w:p>
    <w:p>
      <w:pPr>
        <w:pageBreakBefore w:val="0"/>
        <w:spacing w:after="80" w:line="269" w:lineRule="auto"/>
        <w:ind w:firstLine="397"/>
        <w:jc w:val="both"/>
      </w:pPr>
      <w:r>
        <w:rPr>
          <w:rFonts w:ascii="Times New Roman" w:hAnsi="Times New Roman" w:eastAsia="Times New Roman"/>
          <w:b w:val="0"/>
          <w:i w:val="0"/>
          <w:color w:val="20252B"/>
          <w:sz w:val="20"/>
        </w:rPr>
        <w:t>Разделы 4 и 5 описывают станцию как сооружение: оболочку, тяжесть, энергетику, продовольствие. Однако обитаемость замкнутого объёма определяется не только конструкцией, но и процессами, которые в нём идут непрерывно и не имеют выключателя. Этот раздел фиксирует такие процессы, даёт количественную оценку их параметров и отделяет посчитанное от того, что ещё предстоит считать.</w:t>
      </w:r>
    </w:p>
    <w:p>
      <w:pPr>
        <w:pStyle w:val="Heading2"/>
        <w:keepNext/>
        <w:pageBreakBefore w:val="0"/>
        <w:spacing w:after="40"/>
        <w:jc w:val="left"/>
      </w:pPr>
      <w:r>
        <w:rPr>
          <w:rFonts w:ascii="Times New Roman" w:hAnsi="Times New Roman" w:eastAsia="Times New Roman"/>
          <w:b/>
          <w:i w:val="0"/>
          <w:color w:val="2F5D83"/>
          <w:sz w:val="25"/>
        </w:rPr>
        <w:t>6.1. Газовый баланс: кислород, углекислый газ и следовые примеси</w:t>
      </w:r>
    </w:p>
    <w:p>
      <w:pPr>
        <w:pageBreakBefore w:val="0"/>
        <w:spacing w:after="80" w:line="269" w:lineRule="auto"/>
        <w:ind w:firstLine="397"/>
        <w:jc w:val="both"/>
      </w:pPr>
      <w:r>
        <w:rPr>
          <w:rFonts w:ascii="Times New Roman" w:hAnsi="Times New Roman" w:eastAsia="Times New Roman"/>
          <w:b w:val="0"/>
          <w:i w:val="0"/>
          <w:color w:val="20252B"/>
          <w:sz w:val="20"/>
        </w:rPr>
        <w:t>Раздел 4.1 задаёт состав и давление атмосферы как статическую величину. В действительности состав меняется ежесуточно, и устойчивость его требует проверки.</w:t>
      </w:r>
    </w:p>
    <w:p>
      <w:pPr>
        <w:pageBreakBefore w:val="0"/>
        <w:spacing w:after="80" w:line="269" w:lineRule="auto"/>
        <w:ind w:firstLine="397"/>
        <w:jc w:val="both"/>
      </w:pPr>
      <w:r>
        <w:rPr>
          <w:rFonts w:ascii="Times New Roman" w:hAnsi="Times New Roman" w:eastAsia="Times New Roman"/>
          <w:b w:val="0"/>
          <w:i w:val="0"/>
          <w:color w:val="20252B"/>
          <w:sz w:val="20"/>
        </w:rPr>
        <w:t>Дыхание. Взрослый человек потребляет около 0,84 кг кислорода и выделяет около 1,0 кг углекислого газа в сутки. Для 1 000 000 жителей это 306 600 т кислорода и 365 000 т углекислого газа в год (пересчёт — приложение Б, п. Б.15).</w:t>
      </w:r>
    </w:p>
    <w:p>
      <w:pPr>
        <w:pageBreakBefore w:val="0"/>
        <w:spacing w:after="80" w:line="269" w:lineRule="auto"/>
        <w:ind w:firstLine="397"/>
        <w:jc w:val="both"/>
      </w:pPr>
      <w:r>
        <w:rPr>
          <w:rFonts w:ascii="Times New Roman" w:hAnsi="Times New Roman" w:eastAsia="Times New Roman"/>
          <w:b w:val="0"/>
          <w:i w:val="0"/>
          <w:color w:val="20252B"/>
          <w:sz w:val="20"/>
        </w:rPr>
        <w:t>Фотосинтез. При принятой в п. 5.2 продуктивности 22 кг кислорода с квадратного метра в год посевные площади 807 км² дают 17,75 млн т кислорода в год — в 58 раз больше потребности населения — и связывают около 24,4 млн т углекислого газа, что в 67 раз превышает выдох. Растения выращиваются ради пищи, а не ради воздуха. В замкнутой системе валовое превышение фотосинтеза над дыханием людей не является запасом: связанный углекислый газ должен возвращаться в атмосферу разложением органики, иначе атмосферный углекислый газ был бы исчерпан и фотосинтез остановился бы. Возврат обеспечивают дыхание людей (0,365 млн т), почвенное дыхание (до 6,2 млн т) и техническая переработка растительных остатков (17,8 млн т, то есть 73 % оборота). Подробный разбор — п. 15.1.</w:t>
      </w:r>
    </w:p>
    <w:p>
      <w:pPr>
        <w:pageBreakBefore w:val="0"/>
        <w:spacing w:after="80" w:line="269" w:lineRule="auto"/>
        <w:ind w:firstLine="397"/>
        <w:jc w:val="both"/>
      </w:pPr>
      <w:r>
        <w:rPr>
          <w:rFonts w:ascii="Times New Roman" w:hAnsi="Times New Roman" w:eastAsia="Times New Roman"/>
          <w:b w:val="0"/>
          <w:i w:val="0"/>
          <w:color w:val="20252B"/>
          <w:sz w:val="20"/>
        </w:rPr>
        <w:t>Буферность. В атмосфере массой 7,55 млрд т содержится около 1,69 млрд т кислорода. Даже при полной остановке фотосинтеза запаса хватило бы примерно на пять с половиной тысяч лет дыхания. Опасность создаёт не кислород, а углекислый газ: при остановке растениеводства его концентрация растёт примерно на 31,9 ppm в год, и порога вялости 1 000 ppm атмосфера достигнет за 18 лет. Именно углекислый газ, а не кислород, задаёт предельный срок аварийного режима.</w:t>
      </w:r>
    </w:p>
    <w:p>
      <w:pPr>
        <w:pageBreakBefore w:val="0"/>
        <w:spacing w:after="80" w:line="269" w:lineRule="auto"/>
        <w:ind w:firstLine="397"/>
        <w:jc w:val="both"/>
      </w:pPr>
      <w:r>
        <w:rPr>
          <w:rFonts w:ascii="Times New Roman" w:hAnsi="Times New Roman" w:eastAsia="Times New Roman"/>
          <w:b w:val="0"/>
          <w:i w:val="0"/>
          <w:color w:val="20252B"/>
          <w:sz w:val="20"/>
        </w:rPr>
        <w:t>Следовые примеси. Не рассмотрены и требуют отдельной работы: летучие органические соединения от полимеров, красок и самих людей; аммиак и сероводород от переработки отходов; метан от анаэробных процессов в почве и водоёмах; озон от электрооборудования. В замкнутом объёме без притока извне эти вещества накапливаются, и их удаление — самостоятельная инженерная задача.</w:t>
      </w:r>
    </w:p>
    <w:p>
      <w:pPr>
        <w:pStyle w:val="Heading2"/>
        <w:keepNext/>
        <w:pageBreakBefore w:val="0"/>
        <w:spacing w:after="40"/>
        <w:jc w:val="left"/>
      </w:pPr>
      <w:r>
        <w:rPr>
          <w:rFonts w:ascii="Times New Roman" w:hAnsi="Times New Roman" w:eastAsia="Times New Roman"/>
          <w:b/>
          <w:i w:val="0"/>
          <w:color w:val="2F5D83"/>
          <w:sz w:val="25"/>
        </w:rPr>
        <w:t>6.2. Круговорот веществ: почва как действующая система</w:t>
      </w:r>
    </w:p>
    <w:p>
      <w:pPr>
        <w:pageBreakBefore w:val="0"/>
        <w:spacing w:after="80" w:line="269" w:lineRule="auto"/>
        <w:ind w:firstLine="397"/>
        <w:jc w:val="both"/>
      </w:pPr>
      <w:r>
        <w:rPr>
          <w:rFonts w:ascii="Times New Roman" w:hAnsi="Times New Roman" w:eastAsia="Times New Roman"/>
          <w:b w:val="0"/>
          <w:i w:val="0"/>
          <w:color w:val="20252B"/>
          <w:sz w:val="20"/>
        </w:rPr>
        <w:t>В массовом балансе п. 4.3 грунт учтён как 8,13 млрд т нагрузки. Для расчёта прочности эта масса рассматривается как распределённая инертная нагрузка; для биосферы тот же слой должен сохранять биологическую активность и плодородие. Поэтому в замкнутом цикле предусматриваются почвенная биота, возврат органики и круговорот азота, углерода, фосфора и калия.</w:t>
      </w:r>
    </w:p>
    <w:p>
      <w:pPr>
        <w:pageBreakBefore w:val="0"/>
        <w:spacing w:after="80" w:line="269" w:lineRule="auto"/>
        <w:ind w:firstLine="397"/>
        <w:jc w:val="both"/>
      </w:pPr>
      <w:r>
        <w:rPr>
          <w:rFonts w:ascii="Times New Roman" w:hAnsi="Times New Roman" w:eastAsia="Times New Roman"/>
          <w:b w:val="0"/>
          <w:i w:val="0"/>
          <w:color w:val="20252B"/>
          <w:sz w:val="20"/>
        </w:rPr>
        <w:t>Требуется замкнуть три цикла. Азотный: фиксация клубеньковыми бактериями бобовых, нитрификация, денитрификация; при выносе урожая азот уходит из почвы и должен возвращаться. Углеродный: растительные остатки, компостирование, поддержание содержания гумуса. Фосфорно-калийный: эти элементы не имеют газовой фазы и возвращаются только через переработку отходов, то есть теряются безвозвратно при любом их удалении из системы.</w:t>
      </w:r>
    </w:p>
    <w:p>
      <w:pPr>
        <w:pageBreakBefore w:val="0"/>
        <w:spacing w:after="80" w:line="269" w:lineRule="auto"/>
        <w:ind w:firstLine="397"/>
        <w:jc w:val="both"/>
      </w:pPr>
      <w:r>
        <w:rPr>
          <w:rFonts w:ascii="Times New Roman" w:hAnsi="Times New Roman" w:eastAsia="Times New Roman"/>
          <w:b w:val="0"/>
          <w:i w:val="0"/>
          <w:color w:val="20252B"/>
          <w:sz w:val="20"/>
        </w:rPr>
        <w:t>Отсюда следует, что канализация станции не может быть системой удаления. Она обязана быть звеном возврата: фекальные стоки, пищевые и растительные остатки после обеззараживания должны поступать обратно в почву. Всякая тонна вещества, выведенная из оборота, восполняется только доставкой извне.</w:t>
      </w:r>
    </w:p>
    <w:p>
      <w:pPr>
        <w:pageBreakBefore w:val="0"/>
        <w:spacing w:after="80" w:line="269" w:lineRule="auto"/>
        <w:ind w:firstLine="397"/>
        <w:jc w:val="both"/>
      </w:pPr>
      <w:r>
        <w:rPr>
          <w:rFonts w:ascii="Times New Roman" w:hAnsi="Times New Roman" w:eastAsia="Times New Roman"/>
          <w:b w:val="0"/>
          <w:i w:val="0"/>
          <w:color w:val="20252B"/>
          <w:sz w:val="20"/>
        </w:rPr>
        <w:t>Почвенная биота — дождевые черви, микориза, микроорганизмы — подлежит преднамеренному заселению и учёту наравне с посевами. Её видовой состав и численность ещё не рассчитаны; это открытая биологическая задача.</w:t>
      </w:r>
    </w:p>
    <w:p>
      <w:pPr>
        <w:pStyle w:val="Heading2"/>
        <w:keepNext/>
        <w:pageBreakBefore w:val="0"/>
        <w:spacing w:after="40"/>
        <w:jc w:val="left"/>
      </w:pPr>
      <w:r>
        <w:rPr>
          <w:rFonts w:ascii="Times New Roman" w:hAnsi="Times New Roman" w:eastAsia="Times New Roman"/>
          <w:b/>
          <w:i w:val="0"/>
          <w:color w:val="2F5D83"/>
          <w:sz w:val="25"/>
        </w:rPr>
        <w:t>6.3. Опылители и сообщества животных</w:t>
      </w:r>
    </w:p>
    <w:p>
      <w:pPr>
        <w:pageBreakBefore w:val="0"/>
        <w:spacing w:after="80" w:line="269" w:lineRule="auto"/>
        <w:ind w:firstLine="397"/>
        <w:jc w:val="both"/>
      </w:pPr>
      <w:r>
        <w:rPr>
          <w:rFonts w:ascii="Times New Roman" w:hAnsi="Times New Roman" w:eastAsia="Times New Roman"/>
          <w:b w:val="0"/>
          <w:i w:val="0"/>
          <w:color w:val="20252B"/>
          <w:sz w:val="20"/>
        </w:rPr>
        <w:t>В таблице 5.5 присутствуют фрукты и ягоды (60 км²), масличные (50 км²), часть бобовых. Значительная доля этих культур энтомофильна: без насекомых-опылителей они не плодоносят. Ни одно животное в проекте до сих пор не упомянуто.</w:t>
      </w:r>
    </w:p>
    <w:p>
      <w:pPr>
        <w:pageBreakBefore w:val="0"/>
        <w:spacing w:after="80" w:line="269" w:lineRule="auto"/>
        <w:ind w:firstLine="397"/>
        <w:jc w:val="both"/>
      </w:pPr>
      <w:r>
        <w:rPr>
          <w:rFonts w:ascii="Times New Roman" w:hAnsi="Times New Roman" w:eastAsia="Times New Roman"/>
          <w:b w:val="0"/>
          <w:i w:val="0"/>
          <w:color w:val="20252B"/>
          <w:sz w:val="20"/>
        </w:rPr>
        <w:t>Минимально необходимое сообщество включает опылителей (пчёлы, шмели), почвообразователей (черви, ногохвостки), санитаров-разлагателей, а также естественных врагов вредителей — иначе борьба с вредителями сведётся к химии, недопустимой в замкнутом объёме. Каждый введённый вид требует собственной кормовой базы круглый год, что в системе с четырьмя климатическими зонами решается проще, чем на Земле, но должно быть спроектировано.</w:t>
      </w:r>
    </w:p>
    <w:p>
      <w:pPr>
        <w:pageBreakBefore w:val="0"/>
        <w:spacing w:after="80" w:line="269" w:lineRule="auto"/>
        <w:ind w:firstLine="397"/>
        <w:jc w:val="both"/>
      </w:pPr>
      <w:r>
        <w:rPr>
          <w:rFonts w:ascii="Times New Roman" w:hAnsi="Times New Roman" w:eastAsia="Times New Roman"/>
          <w:b w:val="0"/>
          <w:i w:val="0"/>
          <w:color w:val="20252B"/>
          <w:sz w:val="20"/>
        </w:rPr>
        <w:t>Отдельно отмечается риск: занос вредителя или болезни растений в замкнутую систему с монокультурными полями способен уничтожить урожай целиком. Резерв в 1,83 по калорийности (п. 5.1) покрывает один неурожайный год, но не отменяет необходимости карантинных мер и сортового разнообразия.</w:t>
      </w:r>
    </w:p>
    <w:p>
      <w:pPr>
        <w:pStyle w:val="Heading2"/>
        <w:keepNext/>
        <w:pageBreakBefore w:val="0"/>
        <w:spacing w:after="40"/>
        <w:jc w:val="left"/>
      </w:pPr>
      <w:r>
        <w:rPr>
          <w:rFonts w:ascii="Times New Roman" w:hAnsi="Times New Roman" w:eastAsia="Times New Roman"/>
          <w:b/>
          <w:i w:val="0"/>
          <w:color w:val="2F5D83"/>
          <w:sz w:val="25"/>
        </w:rPr>
        <w:t>6.4. Движение воздуха, осадки и погода внутри цилиндра</w:t>
      </w:r>
    </w:p>
    <w:p>
      <w:pPr>
        <w:pageBreakBefore w:val="0"/>
        <w:spacing w:after="80" w:line="269" w:lineRule="auto"/>
        <w:ind w:firstLine="397"/>
        <w:jc w:val="both"/>
      </w:pPr>
      <w:r>
        <w:rPr>
          <w:rFonts w:ascii="Times New Roman" w:hAnsi="Times New Roman" w:eastAsia="Times New Roman"/>
          <w:b w:val="0"/>
          <w:i w:val="0"/>
          <w:color w:val="20252B"/>
          <w:sz w:val="20"/>
        </w:rPr>
        <w:t>Между тропической зоной (+28…+35 °C) и холодной (−15…−5 °C) существует перепад около 45 K на длине 40 км. Такой перепад неизбежно порождает продольную циркуляцию. Оценка скорости плотностного течения по формуле гравитационного потока даёт около 87 м/с в идеализированном случае и порядка 9 м/с при учёте трения и устойчивой стратификации. Последняя величина соответствует свежему ветру и является не помехой, а проектной характеристикой среды.</w:t>
      </w:r>
    </w:p>
    <w:p>
      <w:pPr>
        <w:pageBreakBefore w:val="0"/>
        <w:spacing w:after="80" w:line="269" w:lineRule="auto"/>
        <w:ind w:firstLine="397"/>
        <w:jc w:val="both"/>
      </w:pPr>
      <w:r>
        <w:rPr>
          <w:rFonts w:ascii="Times New Roman" w:hAnsi="Times New Roman" w:eastAsia="Times New Roman"/>
          <w:b w:val="0"/>
          <w:i w:val="0"/>
          <w:color w:val="20252B"/>
          <w:sz w:val="20"/>
        </w:rPr>
        <w:t>На это течение накладывается вращение. Для ветра 10 м/с ускорение Кориолиса составляет 0,89 м/с², то есть 0,090 g, а характерный радиус закручивания — около 113 м. Это на три порядка меньше земного: циклон на станции имеет размер городского квартала, а не области. Погода внутри цилиндра будет мелкомасштабной и быстрой.</w:t>
      </w:r>
    </w:p>
    <w:p>
      <w:pPr>
        <w:pageBreakBefore w:val="0"/>
        <w:spacing w:after="80" w:line="269" w:lineRule="auto"/>
        <w:ind w:firstLine="397"/>
        <w:jc w:val="both"/>
      </w:pPr>
      <w:r>
        <w:rPr>
          <w:rFonts w:ascii="Times New Roman" w:hAnsi="Times New Roman" w:eastAsia="Times New Roman"/>
          <w:b w:val="0"/>
          <w:i w:val="0"/>
          <w:color w:val="20252B"/>
          <w:sz w:val="20"/>
        </w:rPr>
        <w:t>Влагооборот. Испарение с поверхностей и транспирация растений неизбежно приведут к конденсации на холодных участках — прежде всего на задней полусфере, где поддерживается +5…+15 °C (п. 4.13.7). Это означает, что осадки в станции возникнут сами собой, и вопрос состоит не в том, создавать ли их, а в том, где именно им выпадать. Управление точкой конденсации остаётся отдельной незавершённой инженерной задачей.</w:t>
      </w:r>
    </w:p>
    <w:p>
      <w:pPr>
        <w:pStyle w:val="Heading2"/>
        <w:keepNext/>
        <w:pageBreakBefore w:val="0"/>
        <w:spacing w:after="40"/>
        <w:jc w:val="left"/>
      </w:pPr>
      <w:r>
        <w:rPr>
          <w:rFonts w:ascii="Times New Roman" w:hAnsi="Times New Roman" w:eastAsia="Times New Roman"/>
          <w:b/>
          <w:i w:val="0"/>
          <w:color w:val="2F5D83"/>
          <w:sz w:val="25"/>
        </w:rPr>
        <w:t>6.5. Пыль, аэрозоли и санитарное состояние воздуха</w:t>
      </w:r>
    </w:p>
    <w:p>
      <w:pPr>
        <w:pageBreakBefore w:val="0"/>
        <w:spacing w:after="80" w:line="269" w:lineRule="auto"/>
        <w:ind w:firstLine="397"/>
        <w:jc w:val="both"/>
      </w:pPr>
      <w:r>
        <w:rPr>
          <w:rFonts w:ascii="Times New Roman" w:hAnsi="Times New Roman" w:eastAsia="Times New Roman"/>
          <w:b w:val="0"/>
          <w:i w:val="0"/>
          <w:color w:val="20252B"/>
          <w:sz w:val="20"/>
        </w:rPr>
        <w:t>Скорость оседания частицы пропорциональна местной тяжести. По формуле Стокса частица 100 мкм у жилой поверхности оседает со скоростью 0,80 м/с, частица 10 мкм — 0,008 м/с, а частица 1 мкм — 0,0001 м/с, то есть практически не оседает. При r = 100 м от оси скорость оседания падает в пятьдесят раз.</w:t>
      </w:r>
    </w:p>
    <w:p>
      <w:pPr>
        <w:pageBreakBefore w:val="0"/>
        <w:spacing w:after="80" w:line="269" w:lineRule="auto"/>
        <w:ind w:firstLine="397"/>
        <w:jc w:val="both"/>
      </w:pPr>
      <w:r>
        <w:rPr>
          <w:rFonts w:ascii="Times New Roman" w:hAnsi="Times New Roman" w:eastAsia="Times New Roman"/>
          <w:b w:val="0"/>
          <w:i w:val="0"/>
          <w:color w:val="20252B"/>
          <w:sz w:val="20"/>
        </w:rPr>
        <w:t>Практическое следствие двоякое. У жилой поверхности пыль ведёт себя как на Земле и удаляется обычными средствами. В приосевой области, напротив, взвесь не осаждается вовсе и накапливается: любые пылящие работы там недопустимы, а вентиляция должна иметь принудительный отбор. Поскольку по п. 4.13.11 приосевая зона закрыта для людей, требование обращено к обслуживающим механизмам.</w:t>
      </w:r>
    </w:p>
    <w:p>
      <w:pPr>
        <w:pageBreakBefore w:val="0"/>
        <w:spacing w:after="80" w:line="269" w:lineRule="auto"/>
        <w:ind w:firstLine="397"/>
        <w:jc w:val="both"/>
      </w:pPr>
      <w:r>
        <w:rPr>
          <w:rFonts w:ascii="Times New Roman" w:hAnsi="Times New Roman" w:eastAsia="Times New Roman"/>
          <w:b w:val="0"/>
          <w:i w:val="0"/>
          <w:color w:val="20252B"/>
          <w:sz w:val="20"/>
        </w:rPr>
        <w:t>Источниками взвеси служат сельскохозяйственные работы, строительство, износ покрытий, пыльца растений и сами люди. Фильтрация воздуха 3,6·10¹² м³ объёма — задача, соизмеримая по мощности с системой терморегуляции, и в энергобалансе п. 4.13.6 она отдельной строкой не выделена.</w:t>
      </w:r>
    </w:p>
    <w:p>
      <w:pPr>
        <w:pStyle w:val="Heading2"/>
        <w:keepNext/>
        <w:pageBreakBefore w:val="0"/>
        <w:spacing w:after="40"/>
        <w:jc w:val="left"/>
      </w:pPr>
      <w:r>
        <w:rPr>
          <w:rFonts w:ascii="Times New Roman" w:hAnsi="Times New Roman" w:eastAsia="Times New Roman"/>
          <w:b/>
          <w:i w:val="0"/>
          <w:color w:val="2F5D83"/>
          <w:sz w:val="25"/>
        </w:rPr>
        <w:t>6.6. Разгерметизация: секционирование и время реакции</w:t>
      </w:r>
    </w:p>
    <w:p>
      <w:pPr>
        <w:pageBreakBefore w:val="0"/>
        <w:spacing w:after="80" w:line="269" w:lineRule="auto"/>
        <w:ind w:firstLine="397"/>
        <w:jc w:val="both"/>
      </w:pPr>
      <w:r>
        <w:rPr>
          <w:rFonts w:ascii="Times New Roman" w:hAnsi="Times New Roman" w:eastAsia="Times New Roman"/>
          <w:b w:val="0"/>
          <w:i w:val="0"/>
          <w:color w:val="20252B"/>
          <w:sz w:val="20"/>
        </w:rPr>
        <w:t>Метеоритная опасность в проекте упомянута, но количественно не оценена. Расчёт по формуле критического истечения при давлении 101,3 кПа и температуре 293 К даёт следующее. Масса воздуха в одном цилиндре составляет 3,77 млрд т.</w:t>
      </w:r>
    </w:p>
    <w:p>
      <w:pPr>
        <w:pageBreakBefore w:val="0"/>
        <w:spacing w:after="80" w:line="269" w:lineRule="auto"/>
        <w:ind w:firstLine="397"/>
        <w:jc w:val="both"/>
      </w:pPr>
      <w:r>
        <w:rPr>
          <w:rFonts w:ascii="Times New Roman" w:hAnsi="Times New Roman" w:eastAsia="Times New Roman"/>
          <w:b w:val="0"/>
          <w:i w:val="0"/>
          <w:color w:val="20252B"/>
          <w:sz w:val="20"/>
        </w:rPr>
        <w:t>Пробой диаметром 10 мм: расход 0,02 кг/с, потеря одного процента атмосферы заняла бы 73 тысячи лет. Пробой 100 мм: 1,88 кг/с, один процент за 735 лет. Пробой 1 м: 188 кг/с, один процент за 6,4 года. Пробой 10 м: 18,8 т/с, один процент за 0,8 месяца.</w:t>
      </w:r>
    </w:p>
    <w:p>
      <w:pPr>
        <w:pageBreakBefore w:val="0"/>
        <w:spacing w:after="80" w:line="269" w:lineRule="auto"/>
        <w:ind w:firstLine="397"/>
        <w:jc w:val="both"/>
      </w:pPr>
      <w:r>
        <w:rPr>
          <w:rFonts w:ascii="Times New Roman" w:hAnsi="Times New Roman" w:eastAsia="Times New Roman"/>
          <w:b w:val="0"/>
          <w:i w:val="0"/>
          <w:color w:val="20252B"/>
          <w:sz w:val="20"/>
        </w:rPr>
        <w:t>Вывод обнадёживающий и важный для проектирования: огромный объём станции делает её нечувствительной к малым пробоям. Отверстие метрового размера не создаёт аварийной ситуации — оно создаёт ремонтную работу со сроком в месяцы. Это принципиально отличает цилиндр О’Нилла от орбитальной станции, где пробой в сантиметр угрожает экипажу в течение часов.</w:t>
      </w:r>
    </w:p>
    <w:p>
      <w:pPr>
        <w:pageBreakBefore w:val="0"/>
        <w:spacing w:after="80" w:line="269" w:lineRule="auto"/>
        <w:ind w:firstLine="397"/>
        <w:jc w:val="both"/>
      </w:pPr>
      <w:r>
        <w:rPr>
          <w:rFonts w:ascii="Times New Roman" w:hAnsi="Times New Roman" w:eastAsia="Times New Roman"/>
          <w:b w:val="0"/>
          <w:i w:val="0"/>
          <w:color w:val="20252B"/>
          <w:sz w:val="20"/>
        </w:rPr>
        <w:t>Опасность смещается с потери атмосферы на две другие: механическое повреждение силового пояса, работающего с запасом 1,53 (п. 4.2), и поражение людей в месте удара. Отсюда требование секционирования жилого объёма гермопереборками и постоянного мониторинга оболочки, а не создания аварийного запаса во</w:t>
      </w:r>
    </w:p>
    <w:p>
      <w:pPr>
        <w:pStyle w:val="Heading2"/>
        <w:keepNext/>
        <w:pageBreakBefore w:val="0"/>
        <w:spacing w:after="40"/>
        <w:jc w:val="left"/>
      </w:pPr>
      <w:r>
        <w:rPr>
          <w:rFonts w:ascii="Times New Roman" w:hAnsi="Times New Roman" w:eastAsia="Times New Roman"/>
          <w:b/>
          <w:i w:val="0"/>
          <w:color w:val="2F5D83"/>
          <w:sz w:val="25"/>
        </w:rPr>
        <w:t>6.7. Перечень нерассмотренного</w:t>
      </w:r>
    </w:p>
    <w:p>
      <w:pPr>
        <w:pageBreakBefore w:val="0"/>
        <w:spacing w:after="80" w:line="269" w:lineRule="auto"/>
        <w:ind w:firstLine="397"/>
        <w:jc w:val="both"/>
      </w:pPr>
      <w:r>
        <w:rPr>
          <w:rFonts w:ascii="Times New Roman" w:hAnsi="Times New Roman" w:eastAsia="Times New Roman"/>
          <w:b w:val="0"/>
          <w:i w:val="0"/>
          <w:color w:val="20252B"/>
          <w:sz w:val="20"/>
        </w:rPr>
        <w:t>Перечень задач, требующих дальнейшей проработки, приведён в п. 16.6. Для них указаны необходимые эксперименты, расчёты, испытания и организационные решения.</w:t>
      </w:r>
    </w:p>
    <w:p>
      <w:pPr>
        <w:pageBreakBefore w:val="0"/>
        <w:spacing w:after="80" w:line="269" w:lineRule="auto"/>
        <w:ind w:firstLine="397"/>
        <w:jc w:val="both"/>
      </w:pPr>
      <w:r>
        <w:rPr>
          <w:rFonts w:ascii="Times New Roman" w:hAnsi="Times New Roman" w:eastAsia="Times New Roman"/>
          <w:b w:val="0"/>
          <w:i w:val="0"/>
          <w:color w:val="20252B"/>
          <w:sz w:val="20"/>
        </w:rPr>
        <w:t>Микробиология замкнутой среды: занос и распространение возбудителей в популяции 1 000 000 человек, биоплёнки в водоводах, плесень в зонах конденсации.</w:t>
      </w:r>
    </w:p>
    <w:p>
      <w:pPr>
        <w:pageBreakBefore w:val="0"/>
        <w:spacing w:after="80" w:line="269" w:lineRule="auto"/>
        <w:ind w:firstLine="397"/>
        <w:jc w:val="both"/>
      </w:pPr>
      <w:r>
        <w:rPr>
          <w:rFonts w:ascii="Times New Roman" w:hAnsi="Times New Roman" w:eastAsia="Times New Roman"/>
          <w:b w:val="0"/>
          <w:i w:val="0"/>
          <w:color w:val="20252B"/>
          <w:sz w:val="20"/>
        </w:rPr>
        <w:t>Акустика: шумовой фон, резонансы стальной оболочки диаметром 10 км, вибрация от транспортных шахт и системы вентиляции.</w:t>
      </w:r>
    </w:p>
    <w:p>
      <w:pPr>
        <w:pageBreakBefore w:val="0"/>
        <w:spacing w:after="80" w:line="269" w:lineRule="auto"/>
        <w:ind w:firstLine="397"/>
        <w:jc w:val="both"/>
      </w:pPr>
      <w:r>
        <w:rPr>
          <w:rFonts w:ascii="Times New Roman" w:hAnsi="Times New Roman" w:eastAsia="Times New Roman"/>
          <w:b w:val="0"/>
          <w:i w:val="0"/>
          <w:color w:val="20252B"/>
          <w:sz w:val="20"/>
        </w:rPr>
        <w:t>Суточные и годовые ритмы: влияние искусственного цикла освещения на сон и здоровье; целесообразность имитации времён года.</w:t>
      </w:r>
    </w:p>
    <w:p>
      <w:pPr>
        <w:pageBreakBefore w:val="0"/>
        <w:spacing w:after="80" w:line="269" w:lineRule="auto"/>
        <w:ind w:firstLine="397"/>
        <w:jc w:val="both"/>
      </w:pPr>
      <w:r>
        <w:rPr>
          <w:rFonts w:ascii="Times New Roman" w:hAnsi="Times New Roman" w:eastAsia="Times New Roman"/>
          <w:b w:val="0"/>
          <w:i w:val="0"/>
          <w:color w:val="20252B"/>
          <w:sz w:val="20"/>
        </w:rPr>
        <w:t>Психологические следствия замкнутости и вида перевёрнутого ландшафта над головой; потребность в открытых перспективах.</w:t>
      </w:r>
    </w:p>
    <w:p>
      <w:pPr>
        <w:pageBreakBefore w:val="0"/>
        <w:spacing w:after="80" w:line="269" w:lineRule="auto"/>
        <w:ind w:firstLine="397"/>
        <w:jc w:val="both"/>
      </w:pPr>
      <w:r>
        <w:rPr>
          <w:rFonts w:ascii="Times New Roman" w:hAnsi="Times New Roman" w:eastAsia="Times New Roman"/>
          <w:b w:val="0"/>
          <w:i w:val="0"/>
          <w:color w:val="20252B"/>
          <w:sz w:val="20"/>
        </w:rPr>
        <w:t>Смена поколений: развитие ребёнка при 1 g на ободе и невесомости у оси, демографическая устойчивость населения на горизонте столетий.</w:t>
      </w:r>
    </w:p>
    <w:p>
      <w:pPr>
        <w:pageBreakBefore w:val="0"/>
        <w:spacing w:after="80" w:line="269" w:lineRule="auto"/>
        <w:ind w:firstLine="397"/>
        <w:jc w:val="both"/>
      </w:pPr>
      <w:r>
        <w:rPr>
          <w:rFonts w:ascii="Times New Roman" w:hAnsi="Times New Roman" w:eastAsia="Times New Roman"/>
          <w:b w:val="0"/>
          <w:i w:val="0"/>
          <w:color w:val="20252B"/>
          <w:sz w:val="20"/>
        </w:rPr>
        <w:t>Пожарная безопасность: горение и его тушение во вращающейся атмосфере, где конвекция подчинена не только тяжести, но и ускорению Кориолиса.</w:t>
      </w:r>
    </w:p>
    <w:p>
      <w:pPr>
        <w:pageBreakBefore w:val="0"/>
        <w:spacing w:after="80" w:line="269" w:lineRule="auto"/>
        <w:ind w:firstLine="397"/>
        <w:jc w:val="both"/>
      </w:pPr>
      <w:r>
        <w:rPr>
          <w:rFonts w:ascii="Times New Roman" w:hAnsi="Times New Roman" w:eastAsia="Times New Roman"/>
          <w:b w:val="0"/>
          <w:i w:val="0"/>
          <w:color w:val="20252B"/>
          <w:sz w:val="20"/>
        </w:rPr>
        <w:t>Старение конструкции: коррозия стали в присутствии кислорода и влаги, деградация грунта и покрытий, программа замены слоёв обшивки на сроке службы в столетия.</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6. ENVIRONMENT FORMATION: PROCESSES DETERMINING THE SUITABILITY OF THE ENVIRONMENT</w:t>
      </w:r>
    </w:p>
    <w:p>
      <w:pPr>
        <w:pageBreakBefore w:val="0"/>
        <w:spacing w:after="80" w:line="269" w:lineRule="auto"/>
        <w:ind w:firstLine="397"/>
        <w:jc w:val="both"/>
      </w:pPr>
      <w:r>
        <w:rPr>
          <w:rFonts w:ascii="Times New Roman" w:hAnsi="Times New Roman" w:eastAsia="Times New Roman"/>
          <w:b w:val="0"/>
          <w:i w:val="0"/>
          <w:color w:val="20252B"/>
          <w:sz w:val="20"/>
        </w:rPr>
        <w:t>Sections 4 and 5 describe the station as a structure: shell, gravity, energy, food. However, the habitability of a closed volume is determined not only by the design, but also by the processes that occur continuously in it and do not have a switch. This section records such processes, provides a quantitative assessment of their parameters, and separates what has been counted from what remains to be counted.</w:t>
      </w:r>
    </w:p>
    <w:p>
      <w:pPr>
        <w:pStyle w:val="Heading2"/>
        <w:keepNext/>
        <w:pageBreakBefore w:val="0"/>
        <w:spacing w:after="40"/>
        <w:jc w:val="left"/>
      </w:pPr>
      <w:r>
        <w:rPr>
          <w:rFonts w:ascii="Times New Roman" w:hAnsi="Times New Roman" w:eastAsia="Times New Roman"/>
          <w:b w:val="0"/>
          <w:i w:val="0"/>
          <w:color w:val="20252B"/>
          <w:sz w:val="20"/>
        </w:rPr>
        <w:t>6.1. Gas balance: oxygen, carbon dioxide and trace impurities</w:t>
      </w:r>
    </w:p>
    <w:p>
      <w:pPr>
        <w:pageBreakBefore w:val="0"/>
        <w:spacing w:after="80" w:line="269" w:lineRule="auto"/>
        <w:ind w:firstLine="397"/>
        <w:jc w:val="both"/>
      </w:pPr>
      <w:r>
        <w:rPr>
          <w:rFonts w:ascii="Times New Roman" w:hAnsi="Times New Roman" w:eastAsia="Times New Roman"/>
          <w:b w:val="0"/>
          <w:i w:val="0"/>
          <w:color w:val="20252B"/>
          <w:sz w:val="20"/>
        </w:rPr>
        <w:t>Section 4.1 specifies the composition and pressure of the atmosphere as a static quantity. In reality, the composition changes daily, and its stability requires verification.</w:t>
      </w:r>
    </w:p>
    <w:p>
      <w:pPr>
        <w:pageBreakBefore w:val="0"/>
        <w:spacing w:after="80" w:line="269" w:lineRule="auto"/>
        <w:ind w:firstLine="397"/>
        <w:jc w:val="both"/>
      </w:pPr>
      <w:r>
        <w:rPr>
          <w:rFonts w:ascii="Times New Roman" w:hAnsi="Times New Roman" w:eastAsia="Times New Roman"/>
          <w:b w:val="0"/>
          <w:i w:val="0"/>
          <w:color w:val="20252B"/>
          <w:sz w:val="20"/>
        </w:rPr>
        <w:t>Breath. An adult consumes about 0.84 kg of oxygen and emits about 1.0 kg of carbon dioxide per day. For 1,000,000 inhabitants this is 306,600 tons of oxygen and 365,000 tons of carbon dioxide per year (recalculation - Appendix B, paragraph B.15).</w:t>
      </w:r>
    </w:p>
    <w:p>
      <w:pPr>
        <w:pageBreakBefore w:val="0"/>
        <w:spacing w:after="80" w:line="269" w:lineRule="auto"/>
        <w:ind w:firstLine="397"/>
        <w:jc w:val="both"/>
      </w:pPr>
      <w:r>
        <w:rPr>
          <w:rFonts w:ascii="Times New Roman" w:hAnsi="Times New Roman" w:eastAsia="Times New Roman"/>
          <w:b w:val="0"/>
          <w:i w:val="0"/>
          <w:color w:val="20252B"/>
          <w:sz w:val="20"/>
        </w:rPr>
        <w:t>Photosynthesis. With a productivity of 22 kg of oxygen per square meter per year accepted in paragraph 5.2, the crop area of 807 km² produces 17.75 million tons of oxygen per year - 58 times more than the population needs - and binds about 24.4 million tons of carbon dioxide, which is 67 times more than exhalation. Plants are grown for food, not for air. In a closed system, the gross excess of photosynthesis over human respiration is not a reserve: bound carbon dioxide must be returned to the atmosphere by the decomposition of organic matter, otherwise atmospheric carbon dioxide would be exhausted and photosynthesis would stop. The return is provided by human respiration (0.365 million tons), soil respiration (up to 6.2 million tons) and technical processing of plant residues (17.8 million tons, that is, 73% of turnover). Detailed analysis - clause 15.1.</w:t>
      </w:r>
    </w:p>
    <w:p>
      <w:pPr>
        <w:pageBreakBefore w:val="0"/>
        <w:spacing w:after="80" w:line="269" w:lineRule="auto"/>
        <w:ind w:firstLine="397"/>
        <w:jc w:val="both"/>
      </w:pPr>
      <w:r>
        <w:rPr>
          <w:rFonts w:ascii="Times New Roman" w:hAnsi="Times New Roman" w:eastAsia="Times New Roman"/>
          <w:b w:val="0"/>
          <w:i w:val="0"/>
          <w:color w:val="20252B"/>
          <w:sz w:val="20"/>
        </w:rPr>
        <w:t>Buffering. An atmosphere weighing 7.55 billion tons contains about 1.69 billion tons of oxygen. Even if photosynthesis completely stopped, the reserve would be enough for about five and a half thousand years of respiration. The danger is created not by oxygen, but by carbon dioxide: when crop production stops, its concentration increases by approximately 31.9 ppm per year, and the atmosphere will reach the lethargy threshold of 1,000 ppm in 18 years. It is carbon dioxide, and not oxygen, that sets the deadline for emergency operation.</w:t>
      </w:r>
    </w:p>
    <w:p>
      <w:pPr>
        <w:pageBreakBefore w:val="0"/>
        <w:spacing w:after="80" w:line="269" w:lineRule="auto"/>
        <w:ind w:firstLine="397"/>
        <w:jc w:val="both"/>
      </w:pPr>
      <w:r>
        <w:rPr>
          <w:rFonts w:ascii="Times New Roman" w:hAnsi="Times New Roman" w:eastAsia="Times New Roman"/>
          <w:b w:val="0"/>
          <w:i w:val="0"/>
          <w:color w:val="20252B"/>
          <w:sz w:val="20"/>
        </w:rPr>
        <w:t>Trace impurities. The following have not been considered and require separate work: volatile organic compounds from polymers, paints and people themselves; ammonia and hydrogen sulfide from waste processing; methane from anaerobic processes in soil and water bodies; ozone from electrical equipment. In a closed volume without external influx, these substances accumulate, and their removal is an independent engineering task.</w:t>
      </w:r>
    </w:p>
    <w:p>
      <w:pPr>
        <w:pStyle w:val="Heading2"/>
        <w:keepNext/>
        <w:pageBreakBefore w:val="0"/>
        <w:spacing w:after="40"/>
        <w:jc w:val="left"/>
      </w:pPr>
      <w:r>
        <w:rPr>
          <w:rFonts w:ascii="Times New Roman" w:hAnsi="Times New Roman" w:eastAsia="Times New Roman"/>
          <w:b w:val="0"/>
          <w:i w:val="0"/>
          <w:color w:val="20252B"/>
          <w:sz w:val="20"/>
        </w:rPr>
        <w:t>6.2. Cycle of substances: soil as an operating system</w:t>
      </w:r>
    </w:p>
    <w:p>
      <w:pPr>
        <w:pageBreakBefore w:val="0"/>
        <w:spacing w:after="80" w:line="269" w:lineRule="auto"/>
        <w:ind w:firstLine="397"/>
        <w:jc w:val="both"/>
      </w:pPr>
      <w:r>
        <w:rPr>
          <w:rFonts w:ascii="Times New Roman" w:hAnsi="Times New Roman" w:eastAsia="Times New Roman"/>
          <w:b w:val="0"/>
          <w:i w:val="0"/>
          <w:color w:val="20252B"/>
          <w:sz w:val="20"/>
        </w:rPr>
        <w:t>In the mass balance of clause 4.3, soil is taken into account as 8.13 billion tons of load. To calculate strength, this mass is considered as a distributed inert load; for the biosphere, the same layer must maintain biological activity and fertility. Therefore, a closed cycle involves soil biota, the return of organic matter and the cycle of nitrogen, carbon, phosphorus and potassium.</w:t>
      </w:r>
    </w:p>
    <w:p>
      <w:pPr>
        <w:pageBreakBefore w:val="0"/>
        <w:spacing w:after="80" w:line="269" w:lineRule="auto"/>
        <w:ind w:firstLine="397"/>
        <w:jc w:val="both"/>
      </w:pPr>
      <w:r>
        <w:rPr>
          <w:rFonts w:ascii="Times New Roman" w:hAnsi="Times New Roman" w:eastAsia="Times New Roman"/>
          <w:b w:val="0"/>
          <w:i w:val="0"/>
          <w:color w:val="20252B"/>
          <w:sz w:val="20"/>
        </w:rPr>
        <w:t>Three loops need to be closed. Nitrogen: fixation by legume nodule bacteria, nitrification, denitrification; When the crop is removed, nitrogen leaves the soil and must be returned. Carbon: plant residues, composting, maintaining humus content. Phosphorus-potassium: these elements do not have a gas phase and are returned only through waste processing, that is, they are lost irretrievably whenever they are removed from the system.</w:t>
      </w:r>
    </w:p>
    <w:p>
      <w:pPr>
        <w:pageBreakBefore w:val="0"/>
        <w:spacing w:after="80" w:line="269" w:lineRule="auto"/>
        <w:ind w:firstLine="397"/>
        <w:jc w:val="both"/>
      </w:pPr>
      <w:r>
        <w:rPr>
          <w:rFonts w:ascii="Times New Roman" w:hAnsi="Times New Roman" w:eastAsia="Times New Roman"/>
          <w:b w:val="0"/>
          <w:i w:val="0"/>
          <w:color w:val="20252B"/>
          <w:sz w:val="20"/>
        </w:rPr>
        <w:t>It follows that the station sewer cannot be a disposal system. It must be a return link: fecal waste, food and plant residues after disinfection must flow back into the soil. Every ton of substance withdrawn from circulation is replenished only by delivery from outside.</w:t>
      </w:r>
    </w:p>
    <w:p>
      <w:pPr>
        <w:pageBreakBefore w:val="0"/>
        <w:spacing w:after="80" w:line="269" w:lineRule="auto"/>
        <w:ind w:firstLine="397"/>
        <w:jc w:val="both"/>
      </w:pPr>
      <w:r>
        <w:rPr>
          <w:rFonts w:ascii="Times New Roman" w:hAnsi="Times New Roman" w:eastAsia="Times New Roman"/>
          <w:b w:val="0"/>
          <w:i w:val="0"/>
          <w:color w:val="20252B"/>
          <w:sz w:val="20"/>
        </w:rPr>
        <w:t>Soil biota—earthworms, mycorrhiza, microorganisms—are subject to deliberate settlement and recording along with crops. Its species composition and abundance have not yet been calculated; this is an open biological problem.</w:t>
      </w:r>
    </w:p>
    <w:p>
      <w:pPr>
        <w:pStyle w:val="Heading2"/>
        <w:keepNext/>
        <w:pageBreakBefore w:val="0"/>
        <w:spacing w:after="40"/>
        <w:jc w:val="left"/>
      </w:pPr>
      <w:r>
        <w:rPr>
          <w:rFonts w:ascii="Times New Roman" w:hAnsi="Times New Roman" w:eastAsia="Times New Roman"/>
          <w:b w:val="0"/>
          <w:i w:val="0"/>
          <w:color w:val="20252B"/>
          <w:sz w:val="20"/>
        </w:rPr>
        <w:t>6.3. Pollinators and animal communities</w:t>
      </w:r>
    </w:p>
    <w:p>
      <w:pPr>
        <w:pageBreakBefore w:val="0"/>
        <w:spacing w:after="80" w:line="269" w:lineRule="auto"/>
        <w:ind w:firstLine="397"/>
        <w:jc w:val="both"/>
      </w:pPr>
      <w:r>
        <w:rPr>
          <w:rFonts w:ascii="Times New Roman" w:hAnsi="Times New Roman" w:eastAsia="Times New Roman"/>
          <w:b w:val="0"/>
          <w:i w:val="0"/>
          <w:color w:val="20252B"/>
          <w:sz w:val="20"/>
        </w:rPr>
        <w:t>Table 5.5 contains fruits and berries (60 km²), oilseeds (50 km²), and some legumes. A significant proportion of these crops are entomophilous: without pollinating insects they do not bear fruit. Not a single animal has been mentioned in the project so far.</w:t>
      </w:r>
    </w:p>
    <w:p>
      <w:pPr>
        <w:pageBreakBefore w:val="0"/>
        <w:spacing w:after="80" w:line="269" w:lineRule="auto"/>
        <w:ind w:firstLine="397"/>
        <w:jc w:val="both"/>
      </w:pPr>
      <w:r>
        <w:rPr>
          <w:rFonts w:ascii="Times New Roman" w:hAnsi="Times New Roman" w:eastAsia="Times New Roman"/>
          <w:b w:val="0"/>
          <w:i w:val="0"/>
          <w:color w:val="20252B"/>
          <w:sz w:val="20"/>
        </w:rPr>
        <w:t>The minimum required community includes pollinators (bees, bumblebees), soil formers (worms, springtails), decomposers, as well as natural enemies of pests - otherwise pest control will be reduced to chemistry, which is unacceptable in a closed volume. Each introduced species requires its own food supply all year round, which is easier to solve in a system with four climatic zones than on Earth, but must be designed.</w:t>
      </w:r>
    </w:p>
    <w:p>
      <w:pPr>
        <w:pageBreakBefore w:val="0"/>
        <w:spacing w:after="80" w:line="269" w:lineRule="auto"/>
        <w:ind w:firstLine="397"/>
        <w:jc w:val="both"/>
      </w:pPr>
      <w:r>
        <w:rPr>
          <w:rFonts w:ascii="Times New Roman" w:hAnsi="Times New Roman" w:eastAsia="Times New Roman"/>
          <w:b w:val="0"/>
          <w:i w:val="0"/>
          <w:color w:val="20252B"/>
          <w:sz w:val="20"/>
        </w:rPr>
        <w:t>A separate risk is noted: the introduction of a pest or plant disease into a closed system with monoculture fields can destroy the entire crop. A reserve of 1.83 in caloric content (clause 5.1) covers one lean year, but does not eliminate the need for quarantine measures and varietal diversity.</w:t>
      </w:r>
    </w:p>
    <w:p>
      <w:pPr>
        <w:pStyle w:val="Heading2"/>
        <w:keepNext/>
        <w:pageBreakBefore w:val="0"/>
        <w:spacing w:after="40"/>
        <w:jc w:val="left"/>
      </w:pPr>
      <w:r>
        <w:rPr>
          <w:rFonts w:ascii="Times New Roman" w:hAnsi="Times New Roman" w:eastAsia="Times New Roman"/>
          <w:b w:val="0"/>
          <w:i w:val="0"/>
          <w:color w:val="20252B"/>
          <w:sz w:val="20"/>
        </w:rPr>
        <w:t>6.4. Air movement, precipitation and weather inside the cylinder</w:t>
      </w:r>
    </w:p>
    <w:p>
      <w:pPr>
        <w:pageBreakBefore w:val="0"/>
        <w:spacing w:after="80" w:line="269" w:lineRule="auto"/>
        <w:ind w:firstLine="397"/>
        <w:jc w:val="both"/>
      </w:pPr>
      <w:r>
        <w:rPr>
          <w:rFonts w:ascii="Times New Roman" w:hAnsi="Times New Roman" w:eastAsia="Times New Roman"/>
          <w:b w:val="0"/>
          <w:i w:val="0"/>
          <w:color w:val="20252B"/>
          <w:sz w:val="20"/>
        </w:rPr>
        <w:t>Between the tropical zone (+28…+35 °C) and the cold zone (−15…−5 °C) there is a difference of about 45 K over a length of 40 km. Such a difference inevitably gives rise to longitudinal circulation. An estimate of the density flow velocity using the gravitational flow formula gives about 87 m/s in the idealized case and about 9 m/s when taking into account friction and stable stratification. The last value corresponds to fresh wind and is not a hindrance, but a design characteristic of the environment.</w:t>
      </w:r>
    </w:p>
    <w:p>
      <w:pPr>
        <w:pageBreakBefore w:val="0"/>
        <w:spacing w:after="80" w:line="269" w:lineRule="auto"/>
        <w:ind w:firstLine="397"/>
        <w:jc w:val="both"/>
      </w:pPr>
      <w:r>
        <w:rPr>
          <w:rFonts w:ascii="Times New Roman" w:hAnsi="Times New Roman" w:eastAsia="Times New Roman"/>
          <w:b w:val="0"/>
          <w:i w:val="0"/>
          <w:color w:val="20252B"/>
          <w:sz w:val="20"/>
        </w:rPr>
        <w:t>Rotation is superimposed on this flow. For a wind of 10 m/s, the Coriolis acceleration is 0.89 m/s², that is, 0.090 g, and the characteristic radius of twist is about 113 m. This is three orders of magnitude smaller than on Earth: the cyclone at the station has the size of a city block, not a region. The weather inside the cylinder will be small-scale and fast-moving.</w:t>
      </w:r>
    </w:p>
    <w:p>
      <w:pPr>
        <w:pageBreakBefore w:val="0"/>
        <w:spacing w:after="80" w:line="269" w:lineRule="auto"/>
        <w:ind w:firstLine="397"/>
        <w:jc w:val="both"/>
      </w:pPr>
      <w:r>
        <w:rPr>
          <w:rFonts w:ascii="Times New Roman" w:hAnsi="Times New Roman" w:eastAsia="Times New Roman"/>
          <w:b w:val="0"/>
          <w:i w:val="0"/>
          <w:color w:val="20252B"/>
          <w:sz w:val="20"/>
        </w:rPr>
        <w:t>Moisture circulation. Evaporation from surfaces and transpiration of plants will inevitably lead to condensation in cold areas - primarily in the rear hemisphere, where +5...+15 °C is maintained (clause 4.13.7). This means that precipitation at the station will occur on its own, and the question is not whether to create it, but where exactly it will fall. Controlling the condensation point remains a separate unfinished engineering task.</w:t>
      </w:r>
    </w:p>
    <w:p>
      <w:pPr>
        <w:pStyle w:val="Heading2"/>
        <w:keepNext/>
        <w:pageBreakBefore w:val="0"/>
        <w:spacing w:after="40"/>
        <w:jc w:val="left"/>
      </w:pPr>
      <w:r>
        <w:rPr>
          <w:rFonts w:ascii="Times New Roman" w:hAnsi="Times New Roman" w:eastAsia="Times New Roman"/>
          <w:b w:val="0"/>
          <w:i w:val="0"/>
          <w:color w:val="20252B"/>
          <w:sz w:val="20"/>
        </w:rPr>
        <w:t>6.5. Dust, aerosols and air health</w:t>
      </w:r>
    </w:p>
    <w:p>
      <w:pPr>
        <w:pageBreakBefore w:val="0"/>
        <w:spacing w:after="80" w:line="269" w:lineRule="auto"/>
        <w:ind w:firstLine="397"/>
        <w:jc w:val="both"/>
      </w:pPr>
      <w:r>
        <w:rPr>
          <w:rFonts w:ascii="Times New Roman" w:hAnsi="Times New Roman" w:eastAsia="Times New Roman"/>
          <w:b w:val="0"/>
          <w:i w:val="0"/>
          <w:color w:val="20252B"/>
          <w:sz w:val="20"/>
        </w:rPr>
        <w:t>The rate of particle settling is proportional to local gravity. According to the Stokes formula, a particle of 100 microns near a residential surface settles at a speed of 0.80 m/s, a particle of 10 microns - 0.008 m/s, and a particle of 1 micron - 0.0001 m/s, that is, practically does not settle. At r = 100 m from the axis, the subsidence rate drops fifty times.</w:t>
      </w:r>
    </w:p>
    <w:p>
      <w:pPr>
        <w:pageBreakBefore w:val="0"/>
        <w:spacing w:after="80" w:line="269" w:lineRule="auto"/>
        <w:ind w:firstLine="397"/>
        <w:jc w:val="both"/>
      </w:pPr>
      <w:r>
        <w:rPr>
          <w:rFonts w:ascii="Times New Roman" w:hAnsi="Times New Roman" w:eastAsia="Times New Roman"/>
          <w:b w:val="0"/>
          <w:i w:val="0"/>
          <w:color w:val="20252B"/>
          <w:sz w:val="20"/>
        </w:rPr>
        <w:t>The practical consequence is twofold. Near the living surface, dust behaves as on Earth and is removed by conventional means. In the paraxial region, on the contrary, the suspension does not settle at all and accumulates: any dust-generating work there is unacceptable, and ventilation must have forced selection. Since, according to clause 4.13.11, the paraxial zone is closed to people, the requirement is addressed to service mechanisms.</w:t>
      </w:r>
    </w:p>
    <w:p>
      <w:pPr>
        <w:pageBreakBefore w:val="0"/>
        <w:spacing w:after="80" w:line="269" w:lineRule="auto"/>
        <w:ind w:firstLine="397"/>
        <w:jc w:val="both"/>
      </w:pPr>
      <w:r>
        <w:rPr>
          <w:rFonts w:ascii="Times New Roman" w:hAnsi="Times New Roman" w:eastAsia="Times New Roman"/>
          <w:b w:val="0"/>
          <w:i w:val="0"/>
          <w:color w:val="20252B"/>
          <w:sz w:val="20"/>
        </w:rPr>
        <w:t>Sources of suspended matter include agricultural work, construction, wear and tear of coatings, plant pollen and people themselves. Air filtration of 3.6·10¹² m³ volume is a task comparable in power to the thermoregulation system, and it is not highlighted as a separate line in the energy balance of clause 4.13.6.</w:t>
      </w:r>
    </w:p>
    <w:p>
      <w:pPr>
        <w:pStyle w:val="Heading2"/>
        <w:keepNext/>
        <w:pageBreakBefore w:val="0"/>
        <w:spacing w:after="40"/>
        <w:jc w:val="left"/>
      </w:pPr>
      <w:r>
        <w:rPr>
          <w:rFonts w:ascii="Times New Roman" w:hAnsi="Times New Roman" w:eastAsia="Times New Roman"/>
          <w:b w:val="0"/>
          <w:i w:val="0"/>
          <w:color w:val="20252B"/>
          <w:sz w:val="20"/>
        </w:rPr>
        <w:t>6.6. Depressurization: sectioning and reaction time</w:t>
      </w:r>
    </w:p>
    <w:p>
      <w:pPr>
        <w:pageBreakBefore w:val="0"/>
        <w:spacing w:after="80" w:line="269" w:lineRule="auto"/>
        <w:ind w:firstLine="397"/>
        <w:jc w:val="both"/>
      </w:pPr>
      <w:r>
        <w:rPr>
          <w:rFonts w:ascii="Times New Roman" w:hAnsi="Times New Roman" w:eastAsia="Times New Roman"/>
          <w:b w:val="0"/>
          <w:i w:val="0"/>
          <w:color w:val="20252B"/>
          <w:sz w:val="20"/>
        </w:rPr>
        <w:t>The meteorite hazard is mentioned in the project, but not quantified. Calculation using the critical outflow formula at a pressure of 101.3 kPa and a temperature of 293 K gives the following. The mass of air in one cylinder is 3.77 billion tons.</w:t>
      </w:r>
    </w:p>
    <w:p>
      <w:pPr>
        <w:pageBreakBefore w:val="0"/>
        <w:spacing w:after="80" w:line="269" w:lineRule="auto"/>
        <w:ind w:firstLine="397"/>
        <w:jc w:val="both"/>
      </w:pPr>
      <w:r>
        <w:rPr>
          <w:rFonts w:ascii="Times New Roman" w:hAnsi="Times New Roman" w:eastAsia="Times New Roman"/>
          <w:b w:val="0"/>
          <w:i w:val="0"/>
          <w:color w:val="20252B"/>
          <w:sz w:val="20"/>
        </w:rPr>
        <w:t>A breakdown with a diameter of 10 mm: flow rate of 0.02 kg/s, the loss of one percent of the atmosphere would take 73 thousand years. Breakdown 100 mm: 1.88 kg/s, one percent for 735 years. Breakdown 1 m: 188 kg/s, one percent in 6.4 years. Breakdown 10 m: 18.8 t/s, one percent in 0.8 months.</w:t>
      </w:r>
    </w:p>
    <w:p>
      <w:pPr>
        <w:pageBreakBefore w:val="0"/>
        <w:spacing w:after="80" w:line="269" w:lineRule="auto"/>
        <w:ind w:firstLine="397"/>
        <w:jc w:val="both"/>
      </w:pPr>
      <w:r>
        <w:rPr>
          <w:rFonts w:ascii="Times New Roman" w:hAnsi="Times New Roman" w:eastAsia="Times New Roman"/>
          <w:b w:val="0"/>
          <w:i w:val="0"/>
          <w:color w:val="20252B"/>
          <w:sz w:val="20"/>
        </w:rPr>
        <w:t>The conclusion is encouraging and important for design: the huge volume of the station makes it insensitive to small breakdowns. A meter-sized hole does not create an emergency situation - it creates a repair job with a period of months. This fundamentally distinguishes the O’Neill cylinder from the orbital station, where a breakdown of a centimeter threatens the crew for hours.</w:t>
      </w:r>
    </w:p>
    <w:p>
      <w:pPr>
        <w:pageBreakBefore w:val="0"/>
        <w:spacing w:after="80" w:line="269" w:lineRule="auto"/>
        <w:ind w:firstLine="397"/>
        <w:jc w:val="both"/>
      </w:pPr>
      <w:r>
        <w:rPr>
          <w:rFonts w:ascii="Times New Roman" w:hAnsi="Times New Roman" w:eastAsia="Times New Roman"/>
          <w:b w:val="0"/>
          <w:i w:val="0"/>
          <w:color w:val="20252B"/>
          <w:sz w:val="20"/>
        </w:rPr>
        <w:t>The danger shifts from loss of atmosphere to two others: mechanical damage to the power belt operating with a margin of 1.53 (clause 4.2), and injury to people at the point of impact. Hence the requirement for partitioning the living space with hermetically sealed bulkheads and constant monitoring of the shell, rather than creating an emergency reserve during</w:t>
      </w:r>
    </w:p>
    <w:p>
      <w:pPr>
        <w:pStyle w:val="Heading2"/>
        <w:keepNext/>
        <w:pageBreakBefore w:val="0"/>
        <w:spacing w:after="40"/>
        <w:jc w:val="left"/>
      </w:pPr>
      <w:r>
        <w:rPr>
          <w:rFonts w:ascii="Times New Roman" w:hAnsi="Times New Roman" w:eastAsia="Times New Roman"/>
          <w:b w:val="0"/>
          <w:i w:val="0"/>
          <w:color w:val="20252B"/>
          <w:sz w:val="20"/>
        </w:rPr>
        <w:t>6.7. List of unconsidered</w:t>
      </w:r>
    </w:p>
    <w:p>
      <w:pPr>
        <w:pageBreakBefore w:val="0"/>
        <w:spacing w:after="80" w:line="269" w:lineRule="auto"/>
        <w:ind w:firstLine="397"/>
        <w:jc w:val="both"/>
      </w:pPr>
      <w:r>
        <w:rPr>
          <w:rFonts w:ascii="Times New Roman" w:hAnsi="Times New Roman" w:eastAsia="Times New Roman"/>
          <w:b w:val="0"/>
          <w:i w:val="0"/>
          <w:color w:val="20252B"/>
          <w:sz w:val="20"/>
        </w:rPr>
        <w:t>The list of tasks requiring further development is given in paragraph 16.6. The necessary experiments, calculations, tests and organizational decisions are indicated for them.</w:t>
      </w:r>
    </w:p>
    <w:p>
      <w:pPr>
        <w:pageBreakBefore w:val="0"/>
        <w:spacing w:after="80" w:line="269" w:lineRule="auto"/>
        <w:ind w:firstLine="397"/>
        <w:jc w:val="both"/>
      </w:pPr>
      <w:r>
        <w:rPr>
          <w:rFonts w:ascii="Times New Roman" w:hAnsi="Times New Roman" w:eastAsia="Times New Roman"/>
          <w:b w:val="0"/>
          <w:i w:val="0"/>
          <w:color w:val="20252B"/>
          <w:sz w:val="20"/>
        </w:rPr>
        <w:t>Microbiology of a closed environment: introduction and spread of pathogens in a population of 1,000,000 people, biofilms in water pipes, mold in condensation zones.</w:t>
      </w:r>
    </w:p>
    <w:p>
      <w:pPr>
        <w:pageBreakBefore w:val="0"/>
        <w:spacing w:after="80" w:line="269" w:lineRule="auto"/>
        <w:ind w:firstLine="397"/>
        <w:jc w:val="both"/>
      </w:pPr>
      <w:r>
        <w:rPr>
          <w:rFonts w:ascii="Times New Roman" w:hAnsi="Times New Roman" w:eastAsia="Times New Roman"/>
          <w:b w:val="0"/>
          <w:i w:val="0"/>
          <w:color w:val="20252B"/>
          <w:sz w:val="20"/>
        </w:rPr>
        <w:t>Acoustics: background noise, resonances of a steel shell with a diameter of 10 km, vibration from transport shafts and ventilation systems.</w:t>
      </w:r>
    </w:p>
    <w:p>
      <w:pPr>
        <w:pageBreakBefore w:val="0"/>
        <w:spacing w:after="80" w:line="269" w:lineRule="auto"/>
        <w:ind w:firstLine="397"/>
        <w:jc w:val="both"/>
      </w:pPr>
      <w:r>
        <w:rPr>
          <w:rFonts w:ascii="Times New Roman" w:hAnsi="Times New Roman" w:eastAsia="Times New Roman"/>
          <w:b w:val="0"/>
          <w:i w:val="0"/>
          <w:color w:val="20252B"/>
          <w:sz w:val="20"/>
        </w:rPr>
        <w:t>Circadian and annual rhythms: the impact of artificial lighting cycles on sleep and health; the feasibility of simulating the seasons.</w:t>
      </w:r>
    </w:p>
    <w:p>
      <w:pPr>
        <w:pageBreakBefore w:val="0"/>
        <w:spacing w:after="80" w:line="269" w:lineRule="auto"/>
        <w:ind w:firstLine="397"/>
        <w:jc w:val="both"/>
      </w:pPr>
      <w:r>
        <w:rPr>
          <w:rFonts w:ascii="Times New Roman" w:hAnsi="Times New Roman" w:eastAsia="Times New Roman"/>
          <w:b w:val="0"/>
          <w:i w:val="0"/>
          <w:color w:val="20252B"/>
          <w:sz w:val="20"/>
        </w:rPr>
        <w:t>Psychological consequences of isolation and the view of an inverted landscape overhead; the need for open perspectives.</w:t>
      </w:r>
    </w:p>
    <w:p>
      <w:pPr>
        <w:pageBreakBefore w:val="0"/>
        <w:spacing w:after="80" w:line="269" w:lineRule="auto"/>
        <w:ind w:firstLine="397"/>
        <w:jc w:val="both"/>
      </w:pPr>
      <w:r>
        <w:rPr>
          <w:rFonts w:ascii="Times New Roman" w:hAnsi="Times New Roman" w:eastAsia="Times New Roman"/>
          <w:b w:val="0"/>
          <w:i w:val="0"/>
          <w:color w:val="20252B"/>
          <w:sz w:val="20"/>
        </w:rPr>
        <w:t>Change of generations: child development at 1 g on the rim and weightlessness at the axis, demographic stability of the population over the horizon of centuries.</w:t>
      </w:r>
    </w:p>
    <w:p>
      <w:pPr>
        <w:pageBreakBefore w:val="0"/>
        <w:spacing w:after="80" w:line="269" w:lineRule="auto"/>
        <w:ind w:firstLine="397"/>
        <w:jc w:val="both"/>
      </w:pPr>
      <w:r>
        <w:rPr>
          <w:rFonts w:ascii="Times New Roman" w:hAnsi="Times New Roman" w:eastAsia="Times New Roman"/>
          <w:b w:val="0"/>
          <w:i w:val="0"/>
          <w:color w:val="20252B"/>
          <w:sz w:val="20"/>
        </w:rPr>
        <w:t>Fire safety: combustion and its extinguishing in a rotating atmosphere, where convection is subject not only to gravity, but also to Coriolis acceleration.</w:t>
      </w:r>
    </w:p>
    <w:p>
      <w:pPr>
        <w:pageBreakBefore w:val="0"/>
        <w:spacing w:after="80" w:line="269" w:lineRule="auto"/>
        <w:ind w:firstLine="397"/>
        <w:jc w:val="both"/>
      </w:pPr>
      <w:r>
        <w:rPr>
          <w:rFonts w:ascii="Times New Roman" w:hAnsi="Times New Roman" w:eastAsia="Times New Roman"/>
          <w:b w:val="0"/>
          <w:i w:val="0"/>
          <w:color w:val="20252B"/>
          <w:sz w:val="20"/>
        </w:rPr>
        <w:t>Aging of the structure: corrosion of steel in the presence of oxygen and moisture, degradation of soil and coatings, a program for replacing cladding layers over a service life of centuries.</w:t>
      </w:r>
    </w:p>
    <w:p/>
    <w:p>
      <w:pPr>
        <w:spacing w:before="200"/>
        <w:jc w:val="center"/>
      </w:pPr>
      <w:r>
        <w:rPr>
          <w:b/>
          <w:color w:val="2E5496"/>
          <w:sz w:val="17"/>
        </w:rPr>
        <w:t>СПИСОК ЛИТЕРАТУРЫ РАЗДЕЛА / REFERENCES OF THIS SECTION</w:t>
      </w:r>
    </w:p>
    <w:p>
      <w:pPr>
        <w:ind w:left="340" w:hanging="340"/>
      </w:pPr>
      <w:r>
        <w:rPr>
          <w:sz w:val="18"/>
        </w:rPr>
        <w:t>1. Johnson R. D., Holbrow C. (eds.). Space Settlements: A Design Study. NASA SP-413. Washington: NASA Scientific and Technical Information Office, 1977.</w:t>
      </w:r>
    </w:p>
    <w:p>
      <w:pPr>
        <w:ind w:left="340" w:hanging="340"/>
      </w:pPr>
      <w:r>
        <w:rPr>
          <w:sz w:val="18"/>
        </w:rPr>
        <w:t>1. Johnson R. D., Holbrow C. (eds.). Space Settlements: A Design Study. NASA SP-413. Washington: NASA Scientific and Technical Information Office, 1977.</w:t>
      </w:r>
    </w:p>
    <w:p>
      <w:r>
        <w:rPr>
          <w:b/>
          <w:sz w:val="18"/>
        </w:rPr>
        <w:t>Кроме того, раздел опирается на собственные допущения публикации:</w:t>
      </w:r>
    </w:p>
    <w:p>
      <w:pPr>
        <w:ind w:left="340" w:hanging="340"/>
      </w:pPr>
      <w:r>
        <w:rPr>
          <w:sz w:val="18"/>
        </w:rPr>
        <w:t>· Биосфера: балансы газов, воды и продовольствия являются системной моделью и набором допущений.</w:t>
      </w:r>
    </w:p>
    <w:p>
      <w:pPr>
        <w:ind w:left="340" w:hanging="340"/>
      </w:pPr>
      <w:r>
        <w:rPr>
          <w:sz w:val="18"/>
        </w:rPr>
        <w:t>· Biosphere: gas, water and food balances are a system model and a set of assumptions.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