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18"/>
        </w:rPr>
        <w:t>ММОСО'Н — модуль моделирования орбитальной станции О'Нилла</w:t>
      </w:r>
    </w:p>
    <w:p>
      <w:pPr>
        <w:jc w:val="center"/>
      </w:pPr>
      <w:r>
        <w:rPr>
          <w:i/>
          <w:sz w:val="18"/>
        </w:rPr>
        <w:t>Раздел 7 / Section 7</w:t>
      </w:r>
    </w:p>
    <w:p>
      <w:pPr>
        <w:jc w:val="center"/>
      </w:pPr>
      <w:r>
        <w:rPr>
          <w:b/>
          <w:color w:val="1F3864"/>
          <w:sz w:val="26"/>
        </w:rPr>
        <w:t>7. ЧЕЛОВЕК В ЗАМКНУТОЙ СРЕДЕ: ЗДОРОВЬЕ, РИТМЫ И ДОЛГОВЕЧНОСТЬ</w:t>
      </w:r>
    </w:p>
    <w:p>
      <w:pPr>
        <w:jc w:val="center"/>
      </w:pPr>
      <w:r>
        <w:rPr>
          <w:b/>
          <w:color w:val="1F3864"/>
          <w:sz w:val="26"/>
        </w:rPr>
        <w:t>7. MAN IN A CLOSED ENVIRONMENT: HEALTH, RHYTHMS AND DURABILITY</w:t>
      </w:r>
    </w:p>
    <w:p>
      <w:pPr>
        <w:jc w:val="center"/>
      </w:pPr>
      <w:r>
        <w:rPr>
          <w:i/>
          <w:sz w:val="17"/>
        </w:rPr>
        <w:t>Редакция 8 · 31 октября 2026 г.  ·  документ 9 из 43</w:t>
      </w:r>
    </w:p>
    <w:p>
      <w:pPr>
        <w:jc w:val="center"/>
      </w:pPr>
      <w:r>
        <w:rPr>
          <w:color w:val="808080"/>
          <w:sz w:val="16"/>
        </w:rPr>
        <w:t>——————————————————————————————————</w:t>
      </w:r>
    </w:p>
    <w:p>
      <w:pPr>
        <w:spacing w:before="200"/>
        <w:jc w:val="center"/>
      </w:pPr>
      <w:r>
        <w:rPr>
          <w:b/>
          <w:color w:val="2E5496"/>
          <w:sz w:val="17"/>
        </w:rPr>
        <w:t>РУССКАЯ РЕДАКЦИЯ / РУССКИЙ ТЕКСТ</w:t>
      </w:r>
    </w:p>
    <w:p>
      <w:pPr>
        <w:pStyle w:val="Heading1"/>
        <w:keepNext/>
        <w:pageBreakBefore w:val="0"/>
        <w:spacing w:after="40"/>
        <w:jc w:val="left"/>
      </w:pPr>
      <w:r>
        <w:rPr>
          <w:rFonts w:ascii="Times New Roman" w:hAnsi="Times New Roman" w:eastAsia="Times New Roman"/>
          <w:b/>
          <w:i w:val="0"/>
          <w:color w:val="1F3A5F"/>
          <w:sz w:val="30"/>
        </w:rPr>
        <w:t>7. ЧЕЛОВЕК В ЗАМКНУТОЙ СРЕДЕ: ЗДОРОВЬЕ, РИТМЫ И ДОЛГОВЕЧНОСТЬ</w:t>
      </w:r>
    </w:p>
    <w:p>
      <w:pPr>
        <w:pageBreakBefore w:val="0"/>
        <w:spacing w:after="80" w:line="269" w:lineRule="auto"/>
        <w:ind w:firstLine="397"/>
        <w:jc w:val="both"/>
      </w:pPr>
      <w:r>
        <w:rPr>
          <w:rFonts w:ascii="Times New Roman" w:hAnsi="Times New Roman" w:eastAsia="Times New Roman"/>
          <w:b w:val="0"/>
          <w:i w:val="0"/>
          <w:color w:val="20252B"/>
          <w:sz w:val="20"/>
        </w:rPr>
        <w:t>Раздел 6 завершается перечнем нерассмотренного. Настоящий раздел разбирает шесть позиций этого перечня, доводя каждую до числа. Оставшиеся — психологические следствия замкнутости и целесообразность имитации времён года — остаются открытыми: они не поддаются расчёту теми средствами, какими выполнен настоящий документ, и требуют не вычисления, а исследования.</w:t>
      </w:r>
    </w:p>
    <w:p>
      <w:pPr>
        <w:pStyle w:val="Heading2"/>
        <w:keepNext/>
        <w:pageBreakBefore w:val="0"/>
        <w:spacing w:after="40"/>
        <w:jc w:val="left"/>
      </w:pPr>
      <w:r>
        <w:rPr>
          <w:rFonts w:ascii="Times New Roman" w:hAnsi="Times New Roman" w:eastAsia="Times New Roman"/>
          <w:b/>
          <w:i w:val="0"/>
          <w:color w:val="2F5D83"/>
          <w:sz w:val="25"/>
        </w:rPr>
        <w:t>7.1. Эпидемическая устойчивость и секционирование</w:t>
      </w:r>
    </w:p>
    <w:p>
      <w:pPr>
        <w:pageBreakBefore w:val="0"/>
        <w:spacing w:after="80" w:line="269" w:lineRule="auto"/>
        <w:ind w:firstLine="397"/>
        <w:jc w:val="both"/>
      </w:pPr>
      <w:r>
        <w:rPr>
          <w:rFonts w:ascii="Times New Roman" w:hAnsi="Times New Roman" w:eastAsia="Times New Roman"/>
          <w:b w:val="0"/>
          <w:i w:val="0"/>
          <w:color w:val="20252B"/>
          <w:sz w:val="20"/>
        </w:rPr>
        <w:t>Прежде расчёта следует ответить на законный вопрос: откуда в станции возьмутся болезни, если возбудителей туда не завозят. Ответ состоит в том, что полностью стерильной станция не будет ни в одну минуту своего существования, и причин тому четыре.</w:t>
      </w:r>
    </w:p>
    <w:p>
      <w:pPr>
        <w:pageBreakBefore w:val="0"/>
        <w:spacing w:after="80" w:line="269" w:lineRule="auto"/>
        <w:ind w:firstLine="397"/>
        <w:jc w:val="both"/>
      </w:pPr>
      <w:r>
        <w:rPr>
          <w:rFonts w:ascii="Times New Roman" w:hAnsi="Times New Roman" w:eastAsia="Times New Roman"/>
          <w:b w:val="0"/>
          <w:i w:val="0"/>
          <w:color w:val="20252B"/>
          <w:sz w:val="20"/>
        </w:rPr>
        <w:t>Первая: возбудителей приносят сами люди. Человек не может быть стерилизован — он носит на себе и в себе около двух килограммов микроорганизмов, и без них не способен ни переваривать пищу, ни поддерживать иммунитет. Вместе с полезной микрофлорой каждый переселенец привозит условно-патогенные виды: золотистый стафилококк, пневмококк, кишечную палочку, вирусы герпеса, которые носит большинство людей пожизненно. Заселение 500 000 человек означает завоз всего спектра человеческой микрофлоры, как бы тщательно ни проводился карантин.</w:t>
      </w:r>
    </w:p>
    <w:p>
      <w:pPr>
        <w:pageBreakBefore w:val="0"/>
        <w:spacing w:after="80" w:line="269" w:lineRule="auto"/>
        <w:ind w:firstLine="397"/>
        <w:jc w:val="both"/>
      </w:pPr>
      <w:r>
        <w:rPr>
          <w:rFonts w:ascii="Times New Roman" w:hAnsi="Times New Roman" w:eastAsia="Times New Roman"/>
          <w:b w:val="0"/>
          <w:i w:val="0"/>
          <w:color w:val="20252B"/>
          <w:sz w:val="20"/>
        </w:rPr>
        <w:t>Вторая: микрофлора требуется биосфере. Раздел 6.2 показывает, что почва без бактерий, грибов и микоризы теряет плодородие, а азотфиксация невозможна без клубеньковых бактерий. Замкнутый цикл веществ строится на микроорганизмах, и их вносят в станцию преднамеренно и в огромных количествах. Отделить полезные виды от способных вызвать болезнь заранее нельзя: многие возбудители — это те же почвенные и кишечные виды, попавшие не в ту среду.</w:t>
      </w:r>
    </w:p>
    <w:p>
      <w:pPr>
        <w:pageBreakBefore w:val="0"/>
        <w:spacing w:after="80" w:line="269" w:lineRule="auto"/>
        <w:ind w:firstLine="397"/>
        <w:jc w:val="both"/>
      </w:pPr>
      <w:r>
        <w:rPr>
          <w:rFonts w:ascii="Times New Roman" w:hAnsi="Times New Roman" w:eastAsia="Times New Roman"/>
          <w:b w:val="0"/>
          <w:i w:val="0"/>
          <w:color w:val="20252B"/>
          <w:sz w:val="20"/>
        </w:rPr>
        <w:t>Третья: возбудители возникают заново. Микроорганизмы размножаются со сменой поколения за десятки минут и непрерывно мутируют. Безвредный штамм за годы приобретает патогенность, а замкнутая система с постоянной температурой, влажностью и обилием питательной среды — условия для этого благоприятные. Кроме того, применение антибиотиков в популяции такого размера неизбежно порождает устойчивые формы, и этот процесс идёт независимо от того, что было завезено вначале.</w:t>
      </w:r>
    </w:p>
    <w:p>
      <w:pPr>
        <w:pageBreakBefore w:val="0"/>
        <w:spacing w:after="80" w:line="269" w:lineRule="auto"/>
        <w:ind w:firstLine="397"/>
        <w:jc w:val="both"/>
      </w:pPr>
      <w:r>
        <w:rPr>
          <w:rFonts w:ascii="Times New Roman" w:hAnsi="Times New Roman" w:eastAsia="Times New Roman"/>
          <w:b w:val="0"/>
          <w:i w:val="0"/>
          <w:color w:val="20252B"/>
          <w:sz w:val="20"/>
        </w:rPr>
        <w:t>Четвёртая: изоляция ослабляет защиту. Иммунитет, не встречающий возбудителей, не тренируется. Поколение, выросшее в стерильной среде, окажется беззащитным перед любым занесённым извне возбудителем — а сообщение с внешним миром предусмотрено проектом: причал, грузы, прибывающие люди. Именно поэтому стерильность станции не только недостижима, но и нежелательна. Опасность представляет не наличие микрофлоры, а её бесконтрольность.</w:t>
      </w:r>
    </w:p>
    <w:p>
      <w:pPr>
        <w:pageBreakBefore w:val="0"/>
        <w:spacing w:after="80" w:line="269" w:lineRule="auto"/>
        <w:ind w:firstLine="397"/>
        <w:jc w:val="both"/>
      </w:pPr>
      <w:r>
        <w:rPr>
          <w:rFonts w:ascii="Times New Roman" w:hAnsi="Times New Roman" w:eastAsia="Times New Roman"/>
          <w:b w:val="0"/>
          <w:i w:val="0"/>
          <w:color w:val="20252B"/>
          <w:sz w:val="20"/>
        </w:rPr>
        <w:t>Из сказанного следует, что расчёт распространения инфекции необходим не как оценка последствий завоза, а как оценка внутреннего риска, существующего постоянно. Замкнутая популяция в 500 000 человек с плотной транспортной связностью — среда, благоприятная для распространения. Наклонная шахта доставляет человека с обода к торцу за 17,8 минуты, вся станция достижима за часы, и потому вспышка развивается практически синхронно во всём объёме.</w:t>
      </w:r>
    </w:p>
    <w:p>
      <w:pPr>
        <w:pageBreakBefore w:val="0"/>
        <w:spacing w:after="80" w:line="269" w:lineRule="auto"/>
        <w:ind w:firstLine="397"/>
        <w:jc w:val="both"/>
      </w:pPr>
      <w:r>
        <w:rPr>
          <w:rFonts w:ascii="Times New Roman" w:hAnsi="Times New Roman" w:eastAsia="Times New Roman"/>
          <w:b w:val="0"/>
          <w:i w:val="0"/>
          <w:color w:val="20252B"/>
          <w:sz w:val="20"/>
        </w:rPr>
        <w:t>Расчёт по модели SIR даёт следующее. Доля переболевших без противодействия определяется уравнением z = 1 − exp(−R₀·z), где R₀ — базовое репродуктивное число. При R₀ = 1,5, что соответствует сезонному гриппу, переболеет 58 % населения, то есть 291 тысяча человек. При R₀ = 2,5 — 89 %, или 446 тысяч. При R₀ = 5, как у оспы, — 99 %. При R₀ = 12, как у кори, — практически всё население.</w:t>
      </w:r>
    </w:p>
    <w:p>
      <w:pPr>
        <w:pageBreakBefore w:val="0"/>
        <w:spacing w:after="80" w:line="269" w:lineRule="auto"/>
        <w:ind w:firstLine="397"/>
        <w:jc w:val="both"/>
      </w:pPr>
      <w:r>
        <w:rPr>
          <w:rFonts w:ascii="Times New Roman" w:hAnsi="Times New Roman" w:eastAsia="Times New Roman"/>
          <w:b w:val="0"/>
          <w:i w:val="0"/>
          <w:color w:val="20252B"/>
          <w:sz w:val="20"/>
        </w:rPr>
        <w:t>Порог коллективного иммунитета составляет 1 − 1/R₀ и равен соответственно 33, 60, 80 и 92 процентам. Отсюда первое требование: вакцинационный охват для кори и подобных ей возбудителей должен превышать 92 %, что на Земле достигается редко, а в замкнутой системе является условием выживания.</w:t>
      </w:r>
    </w:p>
    <w:p>
      <w:pPr>
        <w:pageBreakBefore w:val="0"/>
        <w:spacing w:after="80" w:line="269" w:lineRule="auto"/>
        <w:ind w:firstLine="397"/>
        <w:jc w:val="both"/>
      </w:pPr>
      <w:r>
        <w:rPr>
          <w:rFonts w:ascii="Times New Roman" w:hAnsi="Times New Roman" w:eastAsia="Times New Roman"/>
          <w:b w:val="0"/>
          <w:i w:val="0"/>
          <w:color w:val="20252B"/>
          <w:sz w:val="20"/>
        </w:rPr>
        <w:t>Второе требование — секционирование. Если жилой объём разделён на независимые в санитарном отношении секции с возможностью прекращения сообщения между ними, максимальный охват одной вспышки ограничен размером секции: при делении на четыре части это 125 тысяч человек, при делении на сорок — 12,5 тысячи. Разделение по климатическим зонам даёт естественные границы: их четыре, и между ними уже предусмотрены теплоизолирующие перегородки (п. 4.13.4). Дальнейшее дробление требует отдельной планировки.</w:t>
      </w:r>
    </w:p>
    <w:p>
      <w:pPr>
        <w:pageBreakBefore w:val="0"/>
        <w:spacing w:after="80" w:line="269" w:lineRule="auto"/>
        <w:ind w:firstLine="397"/>
        <w:jc w:val="both"/>
      </w:pPr>
      <w:r>
        <w:rPr>
          <w:rFonts w:ascii="Times New Roman" w:hAnsi="Times New Roman" w:eastAsia="Times New Roman"/>
          <w:b w:val="0"/>
          <w:i w:val="0"/>
          <w:color w:val="20252B"/>
          <w:sz w:val="20"/>
        </w:rPr>
        <w:t>Существенно, что секционирование противоречит удобству сообщения, и мера эта вводится не постоянно действующей, а как режим, вводимый по тревоге. Проектировать надлежит возможность его введения, а не само разделение.</w:t>
      </w:r>
    </w:p>
    <w:p>
      <w:pPr>
        <w:pageBreakBefore w:val="0"/>
        <w:spacing w:after="40"/>
        <w:jc w:val="center"/>
      </w:pPr>
      <w:r>
        <w:rPr>
          <w:rFonts w:ascii="Times New Roman" w:hAnsi="Times New Roman"/>
        </w:rPr>
        <w:drawing>
          <wp:inline xmlns:a="http://schemas.openxmlformats.org/drawingml/2006/main" xmlns:pic="http://schemas.openxmlformats.org/drawingml/2006/picture">
            <wp:extent cx="5580000" cy="2886701"/>
            <wp:docPr id="19" name="Picture 1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580000" cy="2886701"/>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19 — эпидемия в замкнутой популяции и действие секционирования</w:t>
      </w:r>
    </w:p>
    <w:p>
      <w:pPr>
        <w:pStyle w:val="Heading2"/>
        <w:keepNext/>
        <w:pageBreakBefore w:val="0"/>
        <w:spacing w:after="40"/>
        <w:jc w:val="left"/>
      </w:pPr>
      <w:r>
        <w:rPr>
          <w:rFonts w:ascii="Times New Roman" w:hAnsi="Times New Roman" w:eastAsia="Times New Roman"/>
          <w:b/>
          <w:i w:val="0"/>
          <w:color w:val="2F5D83"/>
          <w:sz w:val="25"/>
        </w:rPr>
        <w:t>7.2. Акустика: собственные частоты и инфразвук</w:t>
      </w:r>
    </w:p>
    <w:p>
      <w:pPr>
        <w:pageBreakBefore w:val="0"/>
        <w:spacing w:after="80" w:line="269" w:lineRule="auto"/>
        <w:ind w:firstLine="397"/>
        <w:jc w:val="both"/>
      </w:pPr>
      <w:r>
        <w:rPr>
          <w:rFonts w:ascii="Times New Roman" w:hAnsi="Times New Roman" w:eastAsia="Times New Roman"/>
          <w:b w:val="0"/>
          <w:i w:val="0"/>
          <w:color w:val="20252B"/>
          <w:sz w:val="20"/>
        </w:rPr>
        <w:t>Стальная оболочка диаметром 10 км и воздушный объём длиной 40 км образуют колебательную систему. Её собственные частоты вычисляются прямо.</w:t>
      </w:r>
    </w:p>
    <w:p>
      <w:pPr>
        <w:pageBreakBefore w:val="0"/>
        <w:spacing w:after="80" w:line="269" w:lineRule="auto"/>
        <w:ind w:firstLine="397"/>
        <w:jc w:val="both"/>
      </w:pPr>
      <w:r>
        <w:rPr>
          <w:rFonts w:ascii="Times New Roman" w:hAnsi="Times New Roman" w:eastAsia="Times New Roman"/>
          <w:b w:val="0"/>
          <w:i w:val="0"/>
          <w:color w:val="20252B"/>
          <w:sz w:val="20"/>
        </w:rPr>
        <w:t>Продольные моды воздушного объёма: f = n·c/2L, где c = 343 м/с, L = 40 км. Первая мода даёт 0,0043 Гц, то есть период 233 секунды; вторая — 0,0086 Гц; третья — 0,0129 Гц. Поперечная мода при диаметре 10 км составляет 0,0171 Гц. Кольцевая мода стальной оболочки, вычисляемая как f = (1/2πR)·√(E/ρ) при модуле упругости 2,0·10¹¹ Па и плотности 7 850 кг/м³, равна 0,161 Гц.</w:t>
      </w:r>
    </w:p>
    <w:p>
      <w:pPr>
        <w:pageBreakBefore w:val="0"/>
        <w:spacing w:after="80" w:line="269" w:lineRule="auto"/>
        <w:ind w:firstLine="397"/>
        <w:jc w:val="both"/>
      </w:pPr>
      <w:r>
        <w:rPr>
          <w:rFonts w:ascii="Times New Roman" w:hAnsi="Times New Roman" w:eastAsia="Times New Roman"/>
          <w:b w:val="0"/>
          <w:i w:val="0"/>
          <w:color w:val="20252B"/>
          <w:sz w:val="20"/>
        </w:rPr>
        <w:t>Все эти частоты лежат ниже 20 Гц, то есть в области инфразвука, и слухом не воспринимаются. Вывод, однако, не успокоительный. Инфразвук в диапазоне от 0,1 до 20 Гц вызывает утомление, тревожность и вестибулярные расстройства, а главное — способен раскачивать конструкции, попадая в резонанс с их собственными частотами. Кольцевая мода 0,161 Гц опасна тем, что близка к частотам, на которые откликается тело человека, и к диапазону качки.</w:t>
      </w:r>
    </w:p>
    <w:p>
      <w:pPr>
        <w:pageBreakBefore w:val="0"/>
        <w:spacing w:after="80" w:line="269" w:lineRule="auto"/>
        <w:ind w:firstLine="397"/>
        <w:jc w:val="both"/>
      </w:pPr>
      <w:r>
        <w:rPr>
          <w:rFonts w:ascii="Times New Roman" w:hAnsi="Times New Roman" w:eastAsia="Times New Roman"/>
          <w:b w:val="0"/>
          <w:i w:val="0"/>
          <w:color w:val="20252B"/>
          <w:sz w:val="20"/>
        </w:rPr>
        <w:t>Источники возбуждения этих мод в проекте присутствуют: транспортные шахты с кабинами массой 5 т, система вентиляции, обеспечивающая продольную циркуляцию, подшипниковые узлы, работающие непрерывно. Расчёт возбуждаемых ими амплитуд ещё не выполнен и составляет самостоятельную задачу.</w:t>
      </w:r>
    </w:p>
    <w:p>
      <w:pPr>
        <w:pageBreakBefore w:val="0"/>
        <w:spacing w:after="40"/>
        <w:jc w:val="center"/>
      </w:pPr>
      <w:r>
        <w:rPr>
          <w:rFonts w:ascii="Times New Roman" w:hAnsi="Times New Roman"/>
        </w:rPr>
        <w:drawing>
          <wp:inline xmlns:a="http://schemas.openxmlformats.org/drawingml/2006/main" xmlns:pic="http://schemas.openxmlformats.org/drawingml/2006/picture">
            <wp:extent cx="5580000" cy="2542687"/>
            <wp:docPr id="20" name="Picture 2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80000" cy="2542687"/>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20 — собственные частоты станции относительно полосы слышимого звука</w:t>
      </w:r>
    </w:p>
    <w:p>
      <w:pPr>
        <w:pStyle w:val="Heading2"/>
        <w:keepNext/>
        <w:pageBreakBefore w:val="0"/>
        <w:spacing w:after="40"/>
        <w:jc w:val="left"/>
      </w:pPr>
      <w:r>
        <w:rPr>
          <w:rFonts w:ascii="Times New Roman" w:hAnsi="Times New Roman" w:eastAsia="Times New Roman"/>
          <w:b/>
          <w:i w:val="0"/>
          <w:color w:val="2F5D83"/>
          <w:sz w:val="25"/>
        </w:rPr>
        <w:t>7.3. Суточный ритм и освещённость</w:t>
      </w:r>
    </w:p>
    <w:p>
      <w:pPr>
        <w:pageBreakBefore w:val="0"/>
        <w:spacing w:after="80" w:line="269" w:lineRule="auto"/>
        <w:ind w:firstLine="397"/>
        <w:jc w:val="both"/>
      </w:pPr>
      <w:r>
        <w:rPr>
          <w:rFonts w:ascii="Times New Roman" w:hAnsi="Times New Roman" w:eastAsia="Times New Roman"/>
          <w:b w:val="0"/>
          <w:i w:val="0"/>
          <w:color w:val="20252B"/>
          <w:sz w:val="20"/>
        </w:rPr>
        <w:t>Согласно п. 4.13.5, полоса тьмы движется вдоль цилиндра со скоростью около 1,7 км/ч. Проверка согласованности: при длине 40 км полный проход занимает 23,5 часа, что близко к земным суткам. Цикл, следовательно, задан верно, и циркадный ритм жителей будет соответствовать привычному.</w:t>
      </w:r>
    </w:p>
    <w:p>
      <w:pPr>
        <w:pageBreakBefore w:val="0"/>
        <w:spacing w:after="80" w:line="269" w:lineRule="auto"/>
        <w:ind w:firstLine="397"/>
        <w:jc w:val="both"/>
      </w:pPr>
      <w:r>
        <w:rPr>
          <w:rFonts w:ascii="Times New Roman" w:hAnsi="Times New Roman" w:eastAsia="Times New Roman"/>
          <w:b w:val="0"/>
          <w:i w:val="0"/>
          <w:color w:val="20252B"/>
          <w:sz w:val="20"/>
        </w:rPr>
        <w:t>Освещённость. Плотность светового потока ОСБ по зонам составляет 220, 170, 120 и 60 Вт/м² (п. 4.13.4). При переводе в световые единицы для принятого спектра источников (ориентировочно 93–120 лк на Вт/м²) это даёт около 20–26 тысяч люксов в тропиках, 16–20 тысяч в субтропиках, 11–14 тысяч в умеренной зоне и 6–7 тысяч в холодной.</w:t>
      </w:r>
    </w:p>
    <w:p>
      <w:pPr>
        <w:pageBreakBefore w:val="0"/>
        <w:spacing w:after="80" w:line="269" w:lineRule="auto"/>
        <w:ind w:firstLine="397"/>
        <w:jc w:val="both"/>
      </w:pPr>
      <w:r>
        <w:rPr>
          <w:rFonts w:ascii="Times New Roman" w:hAnsi="Times New Roman" w:eastAsia="Times New Roman"/>
          <w:b w:val="0"/>
          <w:i w:val="0"/>
          <w:color w:val="20252B"/>
          <w:sz w:val="20"/>
        </w:rPr>
        <w:t>Для сравнения: прямое солнце на Земле даёт около 100 000 лк, светлая тень — от 10 до 25 тысяч, пасмурный день — от 1 до 5 тысяч, освещение жилой комнаты — 300–500 лк. Следовательно, освещённость на станции соответствует светлой тени или яркому пасмурному дню. Этого достаточно для растений и для зрения, но заметно меньше прямого солнца, к которому привык человек. Недостаток яркого света связан с сезонными расстройствами настроения, и вопрос о доведении освещённости тропиков до уровня открытого солнца следует считать открытым: он упирается в энергобаланс, где ОСБ и без того потребляет 76 % всей мощности.</w:t>
      </w:r>
    </w:p>
    <w:p>
      <w:pPr>
        <w:pStyle w:val="Heading2"/>
        <w:keepNext/>
        <w:pageBreakBefore w:val="0"/>
        <w:spacing w:after="40"/>
        <w:jc w:val="left"/>
      </w:pPr>
      <w:r>
        <w:rPr>
          <w:rFonts w:ascii="Times New Roman" w:hAnsi="Times New Roman" w:eastAsia="Times New Roman"/>
          <w:b/>
          <w:i w:val="0"/>
          <w:color w:val="2F5D83"/>
          <w:sz w:val="25"/>
        </w:rPr>
        <w:t>7.4. Развитие ребёнка и жизнь в поле вращения</w:t>
      </w:r>
    </w:p>
    <w:p>
      <w:pPr>
        <w:pageBreakBefore w:val="0"/>
        <w:spacing w:after="80" w:line="269" w:lineRule="auto"/>
        <w:ind w:firstLine="397"/>
        <w:jc w:val="both"/>
      </w:pPr>
      <w:r>
        <w:rPr>
          <w:rFonts w:ascii="Times New Roman" w:hAnsi="Times New Roman" w:eastAsia="Times New Roman"/>
          <w:b w:val="0"/>
          <w:i w:val="0"/>
          <w:color w:val="20252B"/>
          <w:sz w:val="20"/>
        </w:rPr>
        <w:t>Вопрос о рождении и взрослении в поле искусственной тяжести — единственный в проекте, на который нет и не может быть опытного ответа: человек ни разу не зачинался и не рождался вне Земли. Ниже приводится лишь то, что поддаётся расчёту.</w:t>
      </w:r>
    </w:p>
    <w:p>
      <w:pPr>
        <w:pageBreakBefore w:val="0"/>
        <w:spacing w:after="80" w:line="269" w:lineRule="auto"/>
        <w:ind w:firstLine="397"/>
        <w:jc w:val="both"/>
      </w:pPr>
      <w:r>
        <w:rPr>
          <w:rFonts w:ascii="Times New Roman" w:hAnsi="Times New Roman" w:eastAsia="Times New Roman"/>
          <w:b w:val="0"/>
          <w:i w:val="0"/>
          <w:color w:val="20252B"/>
          <w:sz w:val="20"/>
        </w:rPr>
        <w:t>Перепад тяжести по росту. На высоте 1,7 м от поверхности местная тяжесть составляет 0,99964 g, то есть на 0,036 % меньше, чем у ног. Для ребёнка ростом 1 м разница ещё вдвое меньше. Эта величина ничтожна и не отличима от земной, где перепад по росту составляет около 0,00005 %. Различие в тысячу раз, но обе величины лежат за порогом восприятия и физиологического значения.</w:t>
      </w:r>
    </w:p>
    <w:p>
      <w:pPr>
        <w:pageBreakBefore w:val="0"/>
        <w:spacing w:after="80" w:line="269" w:lineRule="auto"/>
        <w:ind w:firstLine="397"/>
        <w:jc w:val="both"/>
      </w:pPr>
      <w:r>
        <w:rPr>
          <w:rFonts w:ascii="Times New Roman" w:hAnsi="Times New Roman" w:eastAsia="Times New Roman"/>
          <w:b w:val="0"/>
          <w:i w:val="0"/>
          <w:color w:val="20252B"/>
          <w:sz w:val="20"/>
        </w:rPr>
        <w:t>Ускорение Кориолиса при движении. Для идущего со скоростью 1 м/с оно составляет 0,9 % веса, при беге 3 м/с — 2,7 %, при быстром беге 6 м/с — 5,4 %. Последняя величина уже ощутима: бегущий будет чувствовать боковое давление, зависящее от направления бега относительно оси вращения.</w:t>
      </w:r>
    </w:p>
    <w:p>
      <w:pPr>
        <w:pageBreakBefore w:val="0"/>
        <w:spacing w:after="80" w:line="269" w:lineRule="auto"/>
        <w:ind w:firstLine="397"/>
        <w:jc w:val="both"/>
      </w:pPr>
      <w:r>
        <w:rPr>
          <w:rFonts w:ascii="Times New Roman" w:hAnsi="Times New Roman" w:eastAsia="Times New Roman"/>
          <w:b w:val="0"/>
          <w:i w:val="0"/>
          <w:color w:val="20252B"/>
          <w:sz w:val="20"/>
        </w:rPr>
        <w:t>Прыжок. При прыжке на высоту 0,5 м время полёта составляет 0,64 с, а боковой снос за счёт вращения — 1,9 см. При прыжке на 1 м снос достигает 5,3 см. Ребёнок, выросший на станции, усвоит эту поправку так же естественно, как земной ребёнок усваивает параболу свободного падения. Игры с мячом, однако, будут иметь иную механику, и спортивные площадки целесообразно ориентировать поперёк оси, где эффект минимален.</w:t>
      </w:r>
    </w:p>
    <w:p>
      <w:pPr>
        <w:pageBreakBefore w:val="0"/>
        <w:spacing w:after="80" w:line="269" w:lineRule="auto"/>
        <w:ind w:firstLine="397"/>
        <w:jc w:val="both"/>
      </w:pPr>
      <w:r>
        <w:rPr>
          <w:rFonts w:ascii="Times New Roman" w:hAnsi="Times New Roman" w:eastAsia="Times New Roman"/>
          <w:b w:val="0"/>
          <w:i w:val="0"/>
          <w:color w:val="20252B"/>
          <w:sz w:val="20"/>
        </w:rPr>
        <w:t>Открытым остаётся главное: влияние вращения на вестибулярный аппарат в период его формирования, течение беременности и родов, развитие костной ткани. Частота вращения 0,423 об/мин выбрана в пять раз ниже общепринятого порога укачивания (п. 4.1), что даёт основание для осторожного оптимизма, но не заменяет исследования.</w:t>
      </w:r>
    </w:p>
    <w:p>
      <w:pPr>
        <w:pStyle w:val="Heading2"/>
        <w:keepNext/>
        <w:pageBreakBefore w:val="0"/>
        <w:spacing w:after="40"/>
        <w:jc w:val="left"/>
      </w:pPr>
      <w:r>
        <w:rPr>
          <w:rFonts w:ascii="Times New Roman" w:hAnsi="Times New Roman" w:eastAsia="Times New Roman"/>
          <w:b/>
          <w:i w:val="0"/>
          <w:color w:val="2F5D83"/>
          <w:sz w:val="25"/>
        </w:rPr>
        <w:t>7.5. Пожарная безопасность во вращающейся атмосфере</w:t>
      </w:r>
    </w:p>
    <w:p>
      <w:pPr>
        <w:pageBreakBefore w:val="0"/>
        <w:spacing w:after="80" w:line="269" w:lineRule="auto"/>
        <w:ind w:firstLine="397"/>
        <w:jc w:val="both"/>
      </w:pPr>
      <w:r>
        <w:rPr>
          <w:rFonts w:ascii="Times New Roman" w:hAnsi="Times New Roman" w:eastAsia="Times New Roman"/>
          <w:b w:val="0"/>
          <w:i w:val="0"/>
          <w:color w:val="20252B"/>
          <w:sz w:val="20"/>
        </w:rPr>
        <w:t>Горение при 21 % кислорода и давлении 101,3 кПа протекает так же, как на Земле: состав атмосферы принят земным именно поэтому. Отличие вносит вращение.</w:t>
      </w:r>
    </w:p>
    <w:p>
      <w:pPr>
        <w:pageBreakBefore w:val="0"/>
        <w:spacing w:after="80" w:line="269" w:lineRule="auto"/>
        <w:ind w:firstLine="397"/>
        <w:jc w:val="both"/>
      </w:pPr>
      <w:r>
        <w:rPr>
          <w:rFonts w:ascii="Times New Roman" w:hAnsi="Times New Roman" w:eastAsia="Times New Roman"/>
          <w:b w:val="0"/>
          <w:i w:val="0"/>
          <w:color w:val="20252B"/>
          <w:sz w:val="20"/>
        </w:rPr>
        <w:t>Восходящая конвективная колонна отклоняется ускорением Кориолиса. Для скорости подъёма 1 м/с боковое ускорение составляет 0,089 м/с², и на десяти метрах подъёма колонна сносится на 4,4 м. При скорости 3 м/с снос уменьшается до 1,5 м, при 10 м/с — до 0,44 м. Иными словами, слабый огонь даёт заметно наклонённый и закрученный столб дыма, сильный — почти вертикальный.</w:t>
      </w:r>
    </w:p>
    <w:p>
      <w:pPr>
        <w:pageBreakBefore w:val="0"/>
        <w:spacing w:after="80" w:line="269" w:lineRule="auto"/>
        <w:ind w:firstLine="397"/>
        <w:jc w:val="both"/>
      </w:pPr>
      <w:r>
        <w:rPr>
          <w:rFonts w:ascii="Times New Roman" w:hAnsi="Times New Roman" w:eastAsia="Times New Roman"/>
          <w:b w:val="0"/>
          <w:i w:val="0"/>
          <w:color w:val="20252B"/>
          <w:sz w:val="20"/>
        </w:rPr>
        <w:t>Практических следствий два. Первое: дымоудаление нельзя проектировать по земным правилам, помещая вытяжку прямо над очагом, — дым уходит вбок, причём преимущественно в одну сторону, определяемую направлением вращения. Второе: распространение пожара по горизонтали будет несимметричным, и разрывы между зданиями должны быть больше в ту сторону, куда сносит пламя.</w:t>
      </w:r>
    </w:p>
    <w:p>
      <w:pPr>
        <w:pageBreakBefore w:val="0"/>
        <w:spacing w:after="80" w:line="269" w:lineRule="auto"/>
        <w:ind w:firstLine="397"/>
        <w:jc w:val="both"/>
      </w:pPr>
      <w:r>
        <w:rPr>
          <w:rFonts w:ascii="Times New Roman" w:hAnsi="Times New Roman" w:eastAsia="Times New Roman"/>
          <w:b w:val="0"/>
          <w:i w:val="0"/>
          <w:color w:val="20252B"/>
          <w:sz w:val="20"/>
        </w:rPr>
        <w:t>Отдельно отмечается опасность повышения доли кислорода. При 24 % скорость горения возрастает примерно вдвое, а при 30 % загораются материалы, считающиеся негорючими. Поскольку кислород производится посевами с 116-кратным запасом (п. 6.1), система регулирования состава атмосферы должна иметь защиту не только от недостатка кислорода, но и от его избытка.</w:t>
      </w:r>
    </w:p>
    <w:p>
      <w:pPr>
        <w:pStyle w:val="Heading2"/>
        <w:keepNext/>
        <w:pageBreakBefore w:val="0"/>
        <w:spacing w:after="40"/>
        <w:jc w:val="left"/>
      </w:pPr>
      <w:r>
        <w:rPr>
          <w:rFonts w:ascii="Times New Roman" w:hAnsi="Times New Roman" w:eastAsia="Times New Roman"/>
          <w:b/>
          <w:i w:val="0"/>
          <w:color w:val="2F5D83"/>
          <w:sz w:val="25"/>
        </w:rPr>
        <w:t>7.6. Старение конструкции на сроке службы в столетия</w:t>
      </w:r>
    </w:p>
    <w:p>
      <w:pPr>
        <w:pageBreakBefore w:val="0"/>
        <w:spacing w:after="80" w:line="269" w:lineRule="auto"/>
        <w:ind w:firstLine="397"/>
        <w:jc w:val="both"/>
      </w:pPr>
      <w:r>
        <w:rPr>
          <w:rFonts w:ascii="Times New Roman" w:hAnsi="Times New Roman" w:eastAsia="Times New Roman"/>
          <w:b w:val="0"/>
          <w:i w:val="0"/>
          <w:color w:val="20252B"/>
          <w:sz w:val="20"/>
        </w:rPr>
        <w:t>Станция проектируется на срок, измеряемый столетиями. Два процесса разрушения поддаются оценке уже сейчас.</w:t>
      </w:r>
    </w:p>
    <w:p>
      <w:pPr>
        <w:pageBreakBefore w:val="0"/>
        <w:spacing w:after="80" w:line="269" w:lineRule="auto"/>
        <w:ind w:firstLine="397"/>
        <w:jc w:val="both"/>
      </w:pPr>
      <w:r>
        <w:rPr>
          <w:rFonts w:ascii="Times New Roman" w:hAnsi="Times New Roman" w:eastAsia="Times New Roman"/>
          <w:b w:val="0"/>
          <w:i w:val="0"/>
          <w:color w:val="20252B"/>
          <w:sz w:val="20"/>
        </w:rPr>
        <w:t>Коррозия. Силовой пояс из стали 18Ni(300) обращён внутрь, к атмосфере, содержащей кислород и водяной пар, — среде коррозионно-активной. Мартенситно-стареющие стали обладают высокой стойкостью, и при скорости коррозии 0,001 мм в год потеря проектной толщины 0,85 м заняла бы 850 тысяч лет; при 0,01 мм в год — 85 тысяч лет; даже при 0,1 мм в год — 8,5 тысячи лет. Вывод: равномерная коррозия угрозы не представляет. Опасность создаёт коррозия местная — питтинговая и щелевая, а также коррозионное растрескивание под напряжением, поскольку пояс нагружен до 1 308 МПа при пределе 2 000 МПа. Эти виды разрушения не экстраполируются по средней скорости и требуют постоянного контроля состояния металла.</w:t>
      </w:r>
    </w:p>
    <w:p>
      <w:pPr>
        <w:pageBreakBefore w:val="0"/>
        <w:spacing w:after="80" w:line="269" w:lineRule="auto"/>
        <w:ind w:firstLine="397"/>
        <w:jc w:val="both"/>
      </w:pPr>
      <w:r>
        <w:rPr>
          <w:rFonts w:ascii="Times New Roman" w:hAnsi="Times New Roman" w:eastAsia="Times New Roman"/>
          <w:b w:val="0"/>
          <w:i w:val="0"/>
          <w:color w:val="20252B"/>
          <w:sz w:val="20"/>
        </w:rPr>
        <w:t>Усталость. Суточный цикл освещения вызывает колебания температуры и давления. За 200 лет накапливается около 73 000 циклов, тогда как база испытаний на предел выносливости составляет 2·10⁶ циклов. Использовано, таким образом, около 4 % ресурса, и при напряжениях ниже предела выносливости усталостное разрушение не наступает вовсе. Опасность вновь смещается к концентраторам напряжений: сварным швам, отверстиям под шахты, узлам крепления подшипников.</w:t>
      </w:r>
    </w:p>
    <w:p>
      <w:pPr>
        <w:pageBreakBefore w:val="0"/>
        <w:spacing w:after="80" w:line="269" w:lineRule="auto"/>
        <w:ind w:firstLine="397"/>
        <w:jc w:val="both"/>
      </w:pPr>
      <w:r>
        <w:rPr>
          <w:rFonts w:ascii="Times New Roman" w:hAnsi="Times New Roman" w:eastAsia="Times New Roman"/>
          <w:b w:val="0"/>
          <w:i w:val="0"/>
          <w:color w:val="20252B"/>
          <w:sz w:val="20"/>
        </w:rPr>
        <w:t>Отсюда общий вывод по долговечности: конструкция в целом переживает расчётный срок с большим запасом, а ресурс определяется не материалом, а качеством соединений и полнотой контроля. Программа периодического освидетельствования оболочки — 28 млрд т обшивки, площадь порядка 1 500 км² на цилиндр — становится самостоятельной инженерной системой, сопоставимой по объёму работ с терморегуляцией. Она пока не разработана.</w:t>
      </w:r>
    </w:p>
    <w:p>
      <w:pPr>
        <w:pStyle w:val="Heading2"/>
        <w:keepNext/>
        <w:pageBreakBefore w:val="0"/>
        <w:spacing w:after="40"/>
        <w:jc w:val="left"/>
      </w:pPr>
      <w:r>
        <w:rPr>
          <w:rFonts w:ascii="Times New Roman" w:hAnsi="Times New Roman" w:eastAsia="Times New Roman"/>
          <w:b/>
          <w:i w:val="0"/>
          <w:color w:val="2F5D83"/>
          <w:sz w:val="25"/>
        </w:rPr>
        <w:t>7.7. Солнечные батареи носовых куполов</w:t>
      </w:r>
    </w:p>
    <w:p>
      <w:pPr>
        <w:pageBreakBefore w:val="0"/>
        <w:spacing w:after="80" w:line="269" w:lineRule="auto"/>
        <w:ind w:firstLine="397"/>
        <w:jc w:val="both"/>
      </w:pPr>
      <w:r>
        <w:rPr>
          <w:rFonts w:ascii="Times New Roman" w:hAnsi="Times New Roman" w:eastAsia="Times New Roman"/>
          <w:b w:val="0"/>
          <w:i w:val="0"/>
          <w:color w:val="20252B"/>
          <w:sz w:val="20"/>
        </w:rPr>
        <w:t>Состав станции включает дополнительный источник энергии: фотоэлектрические батареи, покрывающие поверхность носового купола каждого цилиндра. Реакторная установка остаётся основным источником, а батареи преобразуют свет в электричество, а не освещают внутренний объём. Зеркальная система и солнечный парус в проект не входят.</w:t>
      </w:r>
    </w:p>
    <w:p>
      <w:pPr>
        <w:pageBreakBefore w:val="0"/>
        <w:spacing w:after="80" w:line="269" w:lineRule="auto"/>
        <w:ind w:firstLine="397"/>
        <w:jc w:val="both"/>
      </w:pPr>
      <w:r>
        <w:rPr>
          <w:rFonts w:ascii="Times New Roman" w:hAnsi="Times New Roman" w:eastAsia="Times New Roman"/>
          <w:b w:val="0"/>
          <w:i w:val="0"/>
          <w:color w:val="20252B"/>
          <w:sz w:val="20"/>
        </w:rPr>
        <w:t>Площадь и мощность. Собираемая мощность определяется площадью проекции батарей на направление луча. Суммарная площадь шести задних крыльев принимается 586,8 км², то есть по 97,8 км² на крыло и по 293,4 км² на заднюю раму цилиндра. При солнечной постоянной в точке L1 1 361 Вт/м², КПД фотопреобразователей 25 % и коэффициенте заполнения 0,268 собирается 53,4 ГВт — 7,41 % электрической мощности станции.</w:t>
      </w:r>
    </w:p>
    <w:p>
      <w:pPr>
        <w:pageBreakBefore w:val="0"/>
        <w:spacing w:after="80" w:line="269" w:lineRule="auto"/>
        <w:ind w:firstLine="397"/>
        <w:jc w:val="both"/>
      </w:pPr>
      <w:r>
        <w:rPr>
          <w:rFonts w:ascii="Times New Roman" w:hAnsi="Times New Roman" w:eastAsia="Times New Roman"/>
          <w:b w:val="0"/>
          <w:i w:val="0"/>
          <w:color w:val="20252B"/>
          <w:sz w:val="20"/>
        </w:rPr>
        <w:t>При солнечной постоянной в точке L1 1 361 Вт/м², коэффициенте полезного действия фотопреобразователей 25 % и коэффициенте заполнения крыла 0,268 собирается 53,4 ГВт — 7,41 % электрической мощности станции. Величина сопоставима с потреблением установки удержания (63,4 ГВт) и вдвое перекрывает совокупную потребность быта и жизнеобеспечения (26 ГВт).</w:t>
      </w:r>
    </w:p>
    <w:p>
      <w:pPr>
        <w:pageBreakBefore w:val="0"/>
        <w:spacing w:after="80" w:line="269" w:lineRule="auto"/>
        <w:ind w:firstLine="397"/>
        <w:jc w:val="both"/>
      </w:pPr>
      <w:r>
        <w:rPr>
          <w:rFonts w:ascii="Times New Roman" w:hAnsi="Times New Roman" w:eastAsia="Times New Roman"/>
          <w:b w:val="0"/>
          <w:i w:val="0"/>
          <w:color w:val="20252B"/>
          <w:sz w:val="20"/>
        </w:rPr>
        <w:t>Рассматривался вариант с неподвижным покрытием куполов фотоэлементами. Он обладает тем достоинством, что проекция полусферы на любое направление внутри неё постоянна и равна кругу πR², то есть отдача не зависит от угла падения. Вариант отклонён: направление на светило за год обходит полный круг, и неподвижное покрытие носовых куполов работало бы лишь половину года.</w:t>
      </w:r>
    </w:p>
    <w:p>
      <w:pPr>
        <w:pageBreakBefore w:val="0"/>
        <w:spacing w:after="80" w:line="269" w:lineRule="auto"/>
        <w:ind w:firstLine="397"/>
        <w:jc w:val="both"/>
      </w:pPr>
      <w:r>
        <w:rPr>
          <w:rFonts w:ascii="Times New Roman" w:hAnsi="Times New Roman" w:eastAsia="Times New Roman"/>
          <w:b w:val="0"/>
          <w:i w:val="0"/>
          <w:color w:val="20252B"/>
          <w:sz w:val="20"/>
        </w:rPr>
        <w:t>Ограничение, вытекающее из п. 11.6. Ось станции неподвижна в инерциальном пространстве и не поворачивается вслед за Солнцем: разворот потребовал бы момента 2,41·10¹² Н·м. Между тем станция вместе с точкой L1 обращается вокруг Солнца с периодом в год, то есть направление на Солнце уходит относительно неподвижной оси со скоростью 0,986 градуса в сутки и за год обходит полный круг. Отсюда следует, что носовые батареи освещены только половину года, а среднегодовая отдача составляет 26,7 ГВт.</w:t>
      </w:r>
    </w:p>
    <w:p>
      <w:pPr>
        <w:pageBreakBefore w:val="0"/>
        <w:spacing w:after="80" w:line="269" w:lineRule="auto"/>
        <w:ind w:firstLine="397"/>
        <w:jc w:val="both"/>
      </w:pPr>
      <w:r>
        <w:rPr>
          <w:rFonts w:ascii="Times New Roman" w:hAnsi="Times New Roman" w:eastAsia="Times New Roman"/>
          <w:b w:val="0"/>
          <w:i w:val="0"/>
          <w:color w:val="20252B"/>
          <w:sz w:val="20"/>
        </w:rPr>
        <w:t>Фотоэлектрические батареи размещаются на раскрывающихся поворотных крыльях, установленных на подшипниковых узлах. Крылья доворачиваются к светилу независимо от неподвижного корпуса, поэтому вспомогательная генерация доступна в течение всего года.</w:t>
      </w:r>
    </w:p>
    <w:p>
      <w:pPr>
        <w:pageBreakBefore w:val="0"/>
        <w:spacing w:after="80" w:line="269" w:lineRule="auto"/>
        <w:ind w:firstLine="397"/>
        <w:jc w:val="both"/>
      </w:pPr>
      <w:r>
        <w:rPr>
          <w:rFonts w:ascii="Times New Roman" w:hAnsi="Times New Roman" w:eastAsia="Times New Roman"/>
          <w:b w:val="0"/>
          <w:i w:val="0"/>
          <w:color w:val="20252B"/>
          <w:sz w:val="20"/>
        </w:rPr>
        <w:t>Устройство крыла. Каждое из шести крыльев собрано из складных секций, раскрывающихся после выведения наподобие гармошки; в сложенном виде крыло убирается к заднему узлу. Крыло опирается на моторизованный поворотный шарнир с двумя степенями свободы, размещённый на невращающейся части задней рамы. Три шарнира одной рамы разнесены по локальному азимуту на 120°.</w:t>
      </w:r>
    </w:p>
    <w:p>
      <w:pPr>
        <w:pageBreakBefore w:val="0"/>
        <w:spacing w:after="80" w:line="269" w:lineRule="auto"/>
        <w:ind w:firstLine="397"/>
        <w:jc w:val="both"/>
      </w:pPr>
      <w:r>
        <w:rPr>
          <w:rFonts w:ascii="Times New Roman" w:hAnsi="Times New Roman" w:eastAsia="Times New Roman"/>
          <w:b w:val="0"/>
          <w:i w:val="0"/>
          <w:color w:val="20252B"/>
          <w:sz w:val="20"/>
        </w:rPr>
        <w:t>Слежение. В точке L1 направление на Солнце уходит относительно неподвижной оси станции на 0,986 градуса в сутки, совершая полный оборот за год; привод отрабатывает это движение непрерывно. Две степени свободы шарнира позволяют навести крылья на светило при любом его положении, а не только в пределах передней полусферы. Для перелёта к другой звезде та же схема пригодна без переделок: изменяется лишь программа наведения, а при удалении от светила — падает освещённость, и питание переходит на реакторную установку.</w:t>
      </w:r>
    </w:p>
    <w:p>
      <w:pPr>
        <w:pageBreakBefore w:val="0"/>
        <w:spacing w:after="80" w:line="269" w:lineRule="auto"/>
        <w:ind w:firstLine="397"/>
        <w:jc w:val="both"/>
      </w:pPr>
      <w:r>
        <w:rPr>
          <w:rFonts w:ascii="Times New Roman" w:hAnsi="Times New Roman" w:eastAsia="Times New Roman"/>
          <w:b w:val="0"/>
          <w:i w:val="0"/>
          <w:color w:val="20252B"/>
          <w:sz w:val="20"/>
        </w:rPr>
        <w:t>Расчётная площадь шести задних крыльев принимается равной 586,8 км², то есть по 97,8 км² на крыло. При постоянном наведении на светило вся площадь работает как проекция, и собираемая мощность составляет 53,4 ГВт. Масса при удельной 2 кг/м² — 1,17 млн т, 0,0025 % массы станции; в массовом балансе (п. 4.3) не отражается.</w:t>
      </w:r>
    </w:p>
    <w:p>
      <w:pPr>
        <w:pageBreakBefore w:val="0"/>
        <w:spacing w:after="80" w:line="269" w:lineRule="auto"/>
        <w:ind w:firstLine="397"/>
        <w:jc w:val="both"/>
      </w:pPr>
      <w:r>
        <w:rPr>
          <w:rFonts w:ascii="Times New Roman" w:hAnsi="Times New Roman" w:eastAsia="Times New Roman"/>
          <w:b w:val="0"/>
          <w:i w:val="0"/>
          <w:color w:val="20252B"/>
          <w:sz w:val="20"/>
        </w:rPr>
        <w:t>Деградация. Фотопреобразователи теряют около 0,5 % отдачи в год от радиационного повреждения: через 25 лет остаётся 88 % первоначальной мощности, через 50 лет 78 %, через 100 лет 61 %, через 200 лет 37 %. Замена секций предусматривается в ремонтном цикле наравне с обшивкой (п. 7.6); поскольку батареи дают вспомогательные 7 % мощности, их деградация не является критической для энергоснабжения станции.</w:t>
      </w:r>
    </w:p>
    <w:p>
      <w:pPr>
        <w:spacing w:before="200"/>
        <w:jc w:val="center"/>
      </w:pPr>
      <w:r>
        <w:rPr>
          <w:b/>
          <w:color w:val="2E5496"/>
          <w:sz w:val="17"/>
        </w:rPr>
        <w:t>ENGLISH EDITION</w:t>
      </w:r>
    </w:p>
    <w:p>
      <w:pPr>
        <w:pStyle w:val="Heading1"/>
        <w:keepNext/>
        <w:pageBreakBefore w:val="0"/>
        <w:spacing w:after="40"/>
        <w:jc w:val="left"/>
      </w:pPr>
      <w:r>
        <w:rPr>
          <w:rFonts w:ascii="Times New Roman" w:hAnsi="Times New Roman" w:eastAsia="Times New Roman"/>
          <w:b w:val="0"/>
          <w:i w:val="0"/>
          <w:color w:val="20252B"/>
          <w:sz w:val="20"/>
        </w:rPr>
        <w:t>7. MAN IN A CLOSED ENVIRONMENT: HEALTH, RHYTHMS AND DURABILITY</w:t>
      </w:r>
    </w:p>
    <w:p>
      <w:pPr>
        <w:pageBreakBefore w:val="0"/>
        <w:spacing w:after="80" w:line="269" w:lineRule="auto"/>
        <w:ind w:firstLine="397"/>
        <w:jc w:val="both"/>
      </w:pPr>
      <w:r>
        <w:rPr>
          <w:rFonts w:ascii="Times New Roman" w:hAnsi="Times New Roman" w:eastAsia="Times New Roman"/>
          <w:b w:val="0"/>
          <w:i w:val="0"/>
          <w:color w:val="20252B"/>
          <w:sz w:val="20"/>
        </w:rPr>
        <w:t>Section 6 concludes with a list of items not covered. This section examines the six items on this list, bringing each to a number. The rest - the psychological consequences of isolation and the expediency of simulating the seasons - remain open: they cannot be calculated by the means by which this document was made, and require not calculation, but research.</w:t>
      </w:r>
    </w:p>
    <w:p>
      <w:pPr>
        <w:pStyle w:val="Heading2"/>
        <w:keepNext/>
        <w:pageBreakBefore w:val="0"/>
        <w:spacing w:after="40"/>
        <w:jc w:val="left"/>
      </w:pPr>
      <w:r>
        <w:rPr>
          <w:rFonts w:ascii="Times New Roman" w:hAnsi="Times New Roman" w:eastAsia="Times New Roman"/>
          <w:b w:val="0"/>
          <w:i w:val="0"/>
          <w:color w:val="20252B"/>
          <w:sz w:val="20"/>
        </w:rPr>
        <w:t>7.1. Epidemic resistance and sectioning</w:t>
      </w:r>
    </w:p>
    <w:p>
      <w:pPr>
        <w:pageBreakBefore w:val="0"/>
        <w:spacing w:after="80" w:line="269" w:lineRule="auto"/>
        <w:ind w:firstLine="397"/>
        <w:jc w:val="both"/>
      </w:pPr>
      <w:r>
        <w:rPr>
          <w:rFonts w:ascii="Times New Roman" w:hAnsi="Times New Roman" w:eastAsia="Times New Roman"/>
          <w:b w:val="0"/>
          <w:i w:val="0"/>
          <w:color w:val="20252B"/>
          <w:sz w:val="20"/>
        </w:rPr>
        <w:t>Before the calculation, a legitimate question must be answered: where will diseases come from at the station if pathogens are not brought there? The answer is that the station will not be completely sterile at any moment of its existence, and there are four reasons for this.</w:t>
      </w:r>
    </w:p>
    <w:p>
      <w:pPr>
        <w:pageBreakBefore w:val="0"/>
        <w:spacing w:after="80" w:line="269" w:lineRule="auto"/>
        <w:ind w:firstLine="397"/>
        <w:jc w:val="both"/>
      </w:pPr>
      <w:r>
        <w:rPr>
          <w:rFonts w:ascii="Times New Roman" w:hAnsi="Times New Roman" w:eastAsia="Times New Roman"/>
          <w:b w:val="0"/>
          <w:i w:val="0"/>
          <w:color w:val="20252B"/>
          <w:sz w:val="20"/>
        </w:rPr>
        <w:t>First: people themselves bring pathogens. A person cannot be sterilized - he carries about two kilograms of microorganisms on himself and in himself, and without them he is unable to digest food or maintain immunity. Along with beneficial microflora, each migrant brings opportunistic species: Staphylococcus aureus, pneumococcus, E. coli, herpes viruses, which most people carry for life. Populating 500,000 people means importing the entire spectrum of human microflora, no matter how carefully the quarantine is carried out.</w:t>
      </w:r>
    </w:p>
    <w:p>
      <w:pPr>
        <w:pageBreakBefore w:val="0"/>
        <w:spacing w:after="80" w:line="269" w:lineRule="auto"/>
        <w:ind w:firstLine="397"/>
        <w:jc w:val="both"/>
      </w:pPr>
      <w:r>
        <w:rPr>
          <w:rFonts w:ascii="Times New Roman" w:hAnsi="Times New Roman" w:eastAsia="Times New Roman"/>
          <w:b w:val="0"/>
          <w:i w:val="0"/>
          <w:color w:val="20252B"/>
          <w:sz w:val="20"/>
        </w:rPr>
        <w:t>Second: microflora is required by the biosphere. Section 6.2 shows that soil without bacteria, fungi and mycorrhiza loses fertility, and nitrogen fixation is impossible without nodule bacteria. A closed cycle of substances is built on microorganisms, and they are introduced into the station deliberately and in huge quantities. It is impossible to separate beneficial species from those capable of causing disease in advance: many pathogens are the same soil and intestinal species that have found themselves in the wrong environment.</w:t>
      </w:r>
    </w:p>
    <w:p>
      <w:pPr>
        <w:pageBreakBefore w:val="0"/>
        <w:spacing w:after="80" w:line="269" w:lineRule="auto"/>
        <w:ind w:firstLine="397"/>
        <w:jc w:val="both"/>
      </w:pPr>
      <w:r>
        <w:rPr>
          <w:rFonts w:ascii="Times New Roman" w:hAnsi="Times New Roman" w:eastAsia="Times New Roman"/>
          <w:b w:val="0"/>
          <w:i w:val="0"/>
          <w:color w:val="20252B"/>
          <w:sz w:val="20"/>
        </w:rPr>
        <w:t>Third: pathogens arise anew. Microorganisms reproduce with alternating generations in tens of minutes and continuously mutate. A harmless strain becomes pathogenic over the years, and a closed system with constant temperature, humidity and an abundance of nutrient medium provides favorable conditions for this. In addition, the use of antibiotics in a population of this size inevitably produces resistant forms, and this process occurs regardless of what was introduced first.</w:t>
      </w:r>
    </w:p>
    <w:p>
      <w:pPr>
        <w:pageBreakBefore w:val="0"/>
        <w:spacing w:after="80" w:line="269" w:lineRule="auto"/>
        <w:ind w:firstLine="397"/>
        <w:jc w:val="both"/>
      </w:pPr>
      <w:r>
        <w:rPr>
          <w:rFonts w:ascii="Times New Roman" w:hAnsi="Times New Roman" w:eastAsia="Times New Roman"/>
          <w:b w:val="0"/>
          <w:i w:val="0"/>
          <w:color w:val="20252B"/>
          <w:sz w:val="20"/>
        </w:rPr>
        <w:t>Fourth: isolation weakens defenses. An immune system that does not encounter pathogens does not train. A generation raised in a sterile environment will be defenseless against any pathogen introduced from outside - and communication with the outside world is provided for by the project: a pier, cargo, arriving people. That is why station sterility is not only unattainable, but also undesirable. The danger is not the presence of microflora, but its lack of control.</w:t>
      </w:r>
    </w:p>
    <w:p>
      <w:pPr>
        <w:pageBreakBefore w:val="0"/>
        <w:spacing w:after="80" w:line="269" w:lineRule="auto"/>
        <w:ind w:firstLine="397"/>
        <w:jc w:val="both"/>
      </w:pPr>
      <w:r>
        <w:rPr>
          <w:rFonts w:ascii="Times New Roman" w:hAnsi="Times New Roman" w:eastAsia="Times New Roman"/>
          <w:b w:val="0"/>
          <w:i w:val="0"/>
          <w:color w:val="20252B"/>
          <w:sz w:val="20"/>
        </w:rPr>
        <w:t>From the above it follows that calculating the spread of infection is necessary not as an assessment of the consequences of importation, but as an assessment of the internal risk that constantly exists. A closed population of 500,000 people with dense transport connectivity is an environment favorable for spread. The inclined shaft takes a person from the rim to the end in 17.8 minutes, the entire station is reachable in hours, and therefore the flash develops almost synchronously throughout its entire volume.</w:t>
      </w:r>
    </w:p>
    <w:p>
      <w:pPr>
        <w:pageBreakBefore w:val="0"/>
        <w:spacing w:after="80" w:line="269" w:lineRule="auto"/>
        <w:ind w:firstLine="397"/>
        <w:jc w:val="both"/>
      </w:pPr>
      <w:r>
        <w:rPr>
          <w:rFonts w:ascii="Times New Roman" w:hAnsi="Times New Roman" w:eastAsia="Times New Roman"/>
          <w:b w:val="0"/>
          <w:i w:val="0"/>
          <w:color w:val="20252B"/>
          <w:sz w:val="20"/>
        </w:rPr>
        <w:t>Calculation using the SIR model gives the following. The proportion of those who recovered without resistance is determined by the equation z = 1 − exp(−R₀·z), where R₀ is the basic reproductive number. At R₀ = 1.5, which corresponds to seasonal flu, 58% of the population, that is, 291 thousand people, will get sick. With R₀ = 2.5 - 89%, or 446 thousand. With R₀ = 5, like smallpox, it is 99%. At R₀ = 12, like measles, almost the entire population.</w:t>
      </w:r>
    </w:p>
    <w:p>
      <w:pPr>
        <w:pageBreakBefore w:val="0"/>
        <w:spacing w:after="80" w:line="269" w:lineRule="auto"/>
        <w:ind w:firstLine="397"/>
        <w:jc w:val="both"/>
      </w:pPr>
      <w:r>
        <w:rPr>
          <w:rFonts w:ascii="Times New Roman" w:hAnsi="Times New Roman" w:eastAsia="Times New Roman"/>
          <w:b w:val="0"/>
          <w:i w:val="0"/>
          <w:color w:val="20252B"/>
          <w:sz w:val="20"/>
        </w:rPr>
        <w:t>The herd immunity threshold is 1 − 1/R₀ and is equal to 33, 60, 80 and 92 percent, respectively. Hence the first requirement: vaccination coverage for measles and similar pathogens must exceed 92%, which is rarely achieved on Earth, and in a closed system is a condition for survival.</w:t>
      </w:r>
    </w:p>
    <w:p>
      <w:pPr>
        <w:pageBreakBefore w:val="0"/>
        <w:spacing w:after="80" w:line="269" w:lineRule="auto"/>
        <w:ind w:firstLine="397"/>
        <w:jc w:val="both"/>
      </w:pPr>
      <w:r>
        <w:rPr>
          <w:rFonts w:ascii="Times New Roman" w:hAnsi="Times New Roman" w:eastAsia="Times New Roman"/>
          <w:b w:val="0"/>
          <w:i w:val="0"/>
          <w:color w:val="20252B"/>
          <w:sz w:val="20"/>
        </w:rPr>
        <w:t>The second requirement is partitioning. If the residential volume is divided into sanitary independent sections with the possibility of stopping communication between them, the maximum coverage of one outbreak is limited by the size of the section: when divided into four parts it is 125 thousand people, when divided into forty - 12.5 thousand. The division by climatic zones provides natural boundaries: there are four of them, and heat-insulating partitions are already provided between them (clause 4.13.4). Further crushing requires a separate layout.</w:t>
      </w:r>
    </w:p>
    <w:p>
      <w:pPr>
        <w:pageBreakBefore w:val="0"/>
        <w:spacing w:after="80" w:line="269" w:lineRule="auto"/>
        <w:ind w:firstLine="397"/>
        <w:jc w:val="both"/>
      </w:pPr>
      <w:r>
        <w:rPr>
          <w:rFonts w:ascii="Times New Roman" w:hAnsi="Times New Roman" w:eastAsia="Times New Roman"/>
          <w:b w:val="0"/>
          <w:i w:val="0"/>
          <w:color w:val="20252B"/>
          <w:sz w:val="20"/>
        </w:rPr>
        <w:t>It is important that sectioning is contrary to the convenience of communication, and this measure is not introduced as a permanent measure, but as a mode introduced on alarm. It is the possibility of its introduction that should be designed, not the separation itself.</w:t>
      </w:r>
    </w:p>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580000" cy="2886701"/>
            <wp:docPr id="19" name="Picture 1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580000" cy="2886701"/>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19 - epidemic in a closed population and the effect of sectioning</w:t>
      </w:r>
    </w:p>
    <w:p>
      <w:pPr>
        <w:pStyle w:val="Heading2"/>
        <w:keepNext/>
        <w:pageBreakBefore w:val="0"/>
        <w:spacing w:after="40"/>
        <w:jc w:val="left"/>
      </w:pPr>
      <w:r>
        <w:rPr>
          <w:rFonts w:ascii="Times New Roman" w:hAnsi="Times New Roman" w:eastAsia="Times New Roman"/>
          <w:b w:val="0"/>
          <w:i w:val="0"/>
          <w:color w:val="20252B"/>
          <w:sz w:val="20"/>
        </w:rPr>
        <w:t>7.2. Acoustics: natural frequencies and infrasound</w:t>
      </w:r>
    </w:p>
    <w:p>
      <w:pPr>
        <w:pageBreakBefore w:val="0"/>
        <w:spacing w:after="80" w:line="269" w:lineRule="auto"/>
        <w:ind w:firstLine="397"/>
        <w:jc w:val="both"/>
      </w:pPr>
      <w:r>
        <w:rPr>
          <w:rFonts w:ascii="Times New Roman" w:hAnsi="Times New Roman" w:eastAsia="Times New Roman"/>
          <w:b w:val="0"/>
          <w:i w:val="0"/>
          <w:color w:val="20252B"/>
          <w:sz w:val="20"/>
        </w:rPr>
        <w:t>A steel shell with a diameter of 10 km and an air volume 40 km long form an oscillatory system. Its natural frequencies are calculated directly.</w:t>
      </w:r>
    </w:p>
    <w:p>
      <w:pPr>
        <w:pageBreakBefore w:val="0"/>
        <w:spacing w:after="80" w:line="269" w:lineRule="auto"/>
        <w:ind w:firstLine="397"/>
        <w:jc w:val="both"/>
      </w:pPr>
      <w:r>
        <w:rPr>
          <w:rFonts w:ascii="Times New Roman" w:hAnsi="Times New Roman" w:eastAsia="Times New Roman"/>
          <w:b w:val="0"/>
          <w:i w:val="0"/>
          <w:color w:val="20252B"/>
          <w:sz w:val="20"/>
        </w:rPr>
        <w:t>Longitudinal modes of the air volume: f = n·c/2L, where c = 343 m/s, L = 40 km. The first mode gives 0.0043 Hz, that is, a period of 233 seconds; second - 0.0086 Hz; third - 0.0129 Hz. The transverse mode at a diameter of 10 km is 0.0171 Hz. The annular mode of the steel shell, calculated as f = (1/2πR)·√(E/ρ) with an elastic modulus of 2.0·10¹¹ Pa and a density of 7850 kg/m³, is equal to 0.161 Hz.</w:t>
      </w:r>
    </w:p>
    <w:p>
      <w:pPr>
        <w:pageBreakBefore w:val="0"/>
        <w:spacing w:after="80" w:line="269" w:lineRule="auto"/>
        <w:ind w:firstLine="397"/>
        <w:jc w:val="both"/>
      </w:pPr>
      <w:r>
        <w:rPr>
          <w:rFonts w:ascii="Times New Roman" w:hAnsi="Times New Roman" w:eastAsia="Times New Roman"/>
          <w:b w:val="0"/>
          <w:i w:val="0"/>
          <w:color w:val="20252B"/>
          <w:sz w:val="20"/>
        </w:rPr>
        <w:t>All these frequencies lie below 20 Hz, that is, in the infrasound region, and are not perceived by hearing. The conclusion, however, is not reassuring. Infrasound in the range from 0.1 to 20 Hz causes fatigue, anxiety and vestibular disorders, and most importantly, it is capable of rocking structures, falling into resonance with their own frequencies. The 0.161 Hz ring mode is dangerous because it is close to the frequencies to which the human body responds and to the range of motion.</w:t>
      </w:r>
    </w:p>
    <w:p>
      <w:pPr>
        <w:pageBreakBefore w:val="0"/>
        <w:spacing w:after="80" w:line="269" w:lineRule="auto"/>
        <w:ind w:firstLine="397"/>
        <w:jc w:val="both"/>
      </w:pPr>
      <w:r>
        <w:rPr>
          <w:rFonts w:ascii="Times New Roman" w:hAnsi="Times New Roman" w:eastAsia="Times New Roman"/>
          <w:b w:val="0"/>
          <w:i w:val="0"/>
          <w:color w:val="20252B"/>
          <w:sz w:val="20"/>
        </w:rPr>
        <w:t>The sources of excitation of these modes are present in the project: transport shafts with cabins weighing 5 tons, a ventilation system providing longitudinal circulation, bearing units operating continuously. The calculation of the amplitudes excited by them has not yet been completed and constitutes an independent task.</w:t>
      </w:r>
    </w:p>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580000" cy="2542687"/>
            <wp:docPr id="20" name="Picture 2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80000" cy="2542687"/>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20 - natural frequencies of the station relative to the audible sound band</w:t>
      </w:r>
    </w:p>
    <w:p>
      <w:pPr>
        <w:pStyle w:val="Heading2"/>
        <w:keepNext/>
        <w:pageBreakBefore w:val="0"/>
        <w:spacing w:after="40"/>
        <w:jc w:val="left"/>
      </w:pPr>
      <w:r>
        <w:rPr>
          <w:rFonts w:ascii="Times New Roman" w:hAnsi="Times New Roman" w:eastAsia="Times New Roman"/>
          <w:b w:val="0"/>
          <w:i w:val="0"/>
          <w:color w:val="20252B"/>
          <w:sz w:val="20"/>
        </w:rPr>
        <w:t>7.3. Circadian rhythm and illumination</w:t>
      </w:r>
    </w:p>
    <w:p>
      <w:pPr>
        <w:pageBreakBefore w:val="0"/>
        <w:spacing w:after="80" w:line="269" w:lineRule="auto"/>
        <w:ind w:firstLine="397"/>
        <w:jc w:val="both"/>
      </w:pPr>
      <w:r>
        <w:rPr>
          <w:rFonts w:ascii="Times New Roman" w:hAnsi="Times New Roman" w:eastAsia="Times New Roman"/>
          <w:b w:val="0"/>
          <w:i w:val="0"/>
          <w:color w:val="20252B"/>
          <w:sz w:val="20"/>
        </w:rPr>
        <w:t>According to paragraph 4.13.5, the strip of darkness moves along the cylinder at a speed of about 1.7 km/h. Consistency check: At a length of 40 km, a complete passage takes 23.5 hours, which is close to an Earth day. The cycle, therefore, is set correctly, and the circadian rhythm of the inhabitants will correspond to the usual.</w:t>
      </w:r>
    </w:p>
    <w:p>
      <w:pPr>
        <w:pageBreakBefore w:val="0"/>
        <w:spacing w:after="80" w:line="269" w:lineRule="auto"/>
        <w:ind w:firstLine="397"/>
        <w:jc w:val="both"/>
      </w:pPr>
      <w:r>
        <w:rPr>
          <w:rFonts w:ascii="Times New Roman" w:hAnsi="Times New Roman" w:eastAsia="Times New Roman"/>
          <w:b w:val="0"/>
          <w:i w:val="0"/>
          <w:color w:val="20252B"/>
          <w:sz w:val="20"/>
        </w:rPr>
        <w:t>Illumination. The luminous flux density of OSB by zone is 220, 170, 120 and 60 W/m² (clause 4.13.4). When converted into light units for the accepted spectrum of sources (approximately 93–120 lux per W/m²), this gives about 20–26 thousand lux in the tropics, 16–20 thousand in the subtropics, 11–14 thousand in the temperate zone and 6–7 thousand in the cold zone.</w:t>
      </w:r>
    </w:p>
    <w:p>
      <w:pPr>
        <w:pageBreakBefore w:val="0"/>
        <w:spacing w:after="80" w:line="269" w:lineRule="auto"/>
        <w:ind w:firstLine="397"/>
        <w:jc w:val="both"/>
      </w:pPr>
      <w:r>
        <w:rPr>
          <w:rFonts w:ascii="Times New Roman" w:hAnsi="Times New Roman" w:eastAsia="Times New Roman"/>
          <w:b w:val="0"/>
          <w:i w:val="0"/>
          <w:color w:val="20252B"/>
          <w:sz w:val="20"/>
        </w:rPr>
        <w:t>For comparison: direct sun on Earth gives about 100,000 lux, light shadow - from 10 to 25 thousand, cloudy day - from 1 to 5 thousand, lighting of a living room - 300-500 lux. Consequently, the illumination at the station corresponds to a light shade or a bright cloudy day. This is enough for plants and for vision, but noticeably less than the direct sun that people are used to. The lack of bright light is associated with seasonal mood disorders, and the question of bringing the illumination of the tropics to the level of the open sun should be considered open: it comes down to the energy balance, where OSB already consumes 76% of all power.</w:t>
      </w:r>
    </w:p>
    <w:p>
      <w:pPr>
        <w:pStyle w:val="Heading2"/>
        <w:keepNext/>
        <w:pageBreakBefore w:val="0"/>
        <w:spacing w:after="40"/>
        <w:jc w:val="left"/>
      </w:pPr>
      <w:r>
        <w:rPr>
          <w:rFonts w:ascii="Times New Roman" w:hAnsi="Times New Roman" w:eastAsia="Times New Roman"/>
          <w:b w:val="0"/>
          <w:i w:val="0"/>
          <w:color w:val="20252B"/>
          <w:sz w:val="20"/>
        </w:rPr>
        <w:t>7.4. Child development and life in the field of rotation</w:t>
      </w:r>
    </w:p>
    <w:p>
      <w:pPr>
        <w:pageBreakBefore w:val="0"/>
        <w:spacing w:after="80" w:line="269" w:lineRule="auto"/>
        <w:ind w:firstLine="397"/>
        <w:jc w:val="both"/>
      </w:pPr>
      <w:r>
        <w:rPr>
          <w:rFonts w:ascii="Times New Roman" w:hAnsi="Times New Roman" w:eastAsia="Times New Roman"/>
          <w:b w:val="0"/>
          <w:i w:val="0"/>
          <w:color w:val="20252B"/>
          <w:sz w:val="20"/>
        </w:rPr>
        <w:t>The question of birth and growing up in a field of artificial gravity is the only one in the project for which there is not and cannot be an experimental answer: a person has never conceived or been born outside the Earth. Below is only what can be calculated.</w:t>
      </w:r>
    </w:p>
    <w:p>
      <w:pPr>
        <w:pageBreakBefore w:val="0"/>
        <w:spacing w:after="80" w:line="269" w:lineRule="auto"/>
        <w:ind w:firstLine="397"/>
        <w:jc w:val="both"/>
      </w:pPr>
      <w:r>
        <w:rPr>
          <w:rFonts w:ascii="Times New Roman" w:hAnsi="Times New Roman" w:eastAsia="Times New Roman"/>
          <w:b w:val="0"/>
          <w:i w:val="0"/>
          <w:color w:val="20252B"/>
          <w:sz w:val="20"/>
        </w:rPr>
        <w:t>Variation in heaviness based on height. At a height of 1.7 m from the surface, the local gravity is 0.99964 g, that is, 0.036% less than at the feet. For a child 1 m tall, the difference is even half as much. This value is insignificant and indistinguishable from that on earth, where the difference in height is about 0.00005%. The difference is a thousand times, but both quantities lie beyond the threshold of perception and physiological significance.</w:t>
      </w:r>
    </w:p>
    <w:p>
      <w:pPr>
        <w:pageBreakBefore w:val="0"/>
        <w:spacing w:after="80" w:line="269" w:lineRule="auto"/>
        <w:ind w:firstLine="397"/>
        <w:jc w:val="both"/>
      </w:pPr>
      <w:r>
        <w:rPr>
          <w:rFonts w:ascii="Times New Roman" w:hAnsi="Times New Roman" w:eastAsia="Times New Roman"/>
          <w:b w:val="0"/>
          <w:i w:val="0"/>
          <w:color w:val="20252B"/>
          <w:sz w:val="20"/>
        </w:rPr>
        <w:t>Coriolis acceleration during motion. For someone walking at a speed of 1 m/s, it is 0.9% of the weight, when running at 3 m/s - 2.7%, when running fast at 6 m/s - 5.4%. The last value is already noticeable: the runner will feel lateral pressure, depending on the direction of running relative to the axis of rotation.</w:t>
      </w:r>
    </w:p>
    <w:p>
      <w:pPr>
        <w:pageBreakBefore w:val="0"/>
        <w:spacing w:after="80" w:line="269" w:lineRule="auto"/>
        <w:ind w:firstLine="397"/>
        <w:jc w:val="both"/>
      </w:pPr>
      <w:r>
        <w:rPr>
          <w:rFonts w:ascii="Times New Roman" w:hAnsi="Times New Roman" w:eastAsia="Times New Roman"/>
          <w:b w:val="0"/>
          <w:i w:val="0"/>
          <w:color w:val="20252B"/>
          <w:sz w:val="20"/>
        </w:rPr>
        <w:t>Bounce. When jumping to a height of 0.5 m, the flight time is 0.64 s, and the lateral drift due to rotation is 1.9 cm. When jumping 1 m, the drift reaches 5.3 cm. A child who grew up at the station will learn this correction as naturally as an earthly child learns the parabola of free fall. Ball games, however, will have different mechanics, and it is advisable to orient sports fields across the axis, where the effect is minimal.</w:t>
      </w:r>
    </w:p>
    <w:p>
      <w:pPr>
        <w:pageBreakBefore w:val="0"/>
        <w:spacing w:after="80" w:line="269" w:lineRule="auto"/>
        <w:ind w:firstLine="397"/>
        <w:jc w:val="both"/>
      </w:pPr>
      <w:r>
        <w:rPr>
          <w:rFonts w:ascii="Times New Roman" w:hAnsi="Times New Roman" w:eastAsia="Times New Roman"/>
          <w:b w:val="0"/>
          <w:i w:val="0"/>
          <w:color w:val="20252B"/>
          <w:sz w:val="20"/>
        </w:rPr>
        <w:t>The main thing remains open: the influence of rotation on the vestibular apparatus during its formation, the course of pregnancy and childbirth, and the development of bone tissue. The rotation speed of 0.423 rpm was chosen to be five times lower than the generally accepted threshold for motion sickness (section 4.1), which gives reason for cautious optimism, but does not replace research.</w:t>
      </w:r>
    </w:p>
    <w:p>
      <w:pPr>
        <w:pStyle w:val="Heading2"/>
        <w:keepNext/>
        <w:pageBreakBefore w:val="0"/>
        <w:spacing w:after="40"/>
        <w:jc w:val="left"/>
      </w:pPr>
      <w:r>
        <w:rPr>
          <w:rFonts w:ascii="Times New Roman" w:hAnsi="Times New Roman" w:eastAsia="Times New Roman"/>
          <w:b w:val="0"/>
          <w:i w:val="0"/>
          <w:color w:val="20252B"/>
          <w:sz w:val="20"/>
        </w:rPr>
        <w:t>7.5. Fire safety in a rotating atmosphere</w:t>
      </w:r>
    </w:p>
    <w:p>
      <w:pPr>
        <w:pageBreakBefore w:val="0"/>
        <w:spacing w:after="80" w:line="269" w:lineRule="auto"/>
        <w:ind w:firstLine="397"/>
        <w:jc w:val="both"/>
      </w:pPr>
      <w:r>
        <w:rPr>
          <w:rFonts w:ascii="Times New Roman" w:hAnsi="Times New Roman" w:eastAsia="Times New Roman"/>
          <w:b w:val="0"/>
          <w:i w:val="0"/>
          <w:color w:val="20252B"/>
          <w:sz w:val="20"/>
        </w:rPr>
        <w:t>Combustion at 21% oxygen and a pressure of 101.3 kPa proceeds in the same way as on Earth: the composition of the atmosphere is assumed to be terrestrial for this reason. The difference is made by rotation.</w:t>
      </w:r>
    </w:p>
    <w:p>
      <w:pPr>
        <w:pageBreakBefore w:val="0"/>
        <w:spacing w:after="80" w:line="269" w:lineRule="auto"/>
        <w:ind w:firstLine="397"/>
        <w:jc w:val="both"/>
      </w:pPr>
      <w:r>
        <w:rPr>
          <w:rFonts w:ascii="Times New Roman" w:hAnsi="Times New Roman" w:eastAsia="Times New Roman"/>
          <w:b w:val="0"/>
          <w:i w:val="0"/>
          <w:color w:val="20252B"/>
          <w:sz w:val="20"/>
        </w:rPr>
        <w:t>The ascending convective column is deflected by the Coriolis acceleration. For an ascent speed of 1 m/s, the lateral acceleration is 0.089 m/s², and at ten meters of ascent the column is carried away by 4.4 m. At a speed of 3 m/s, the drift decreases to 1.5 m, at 10 m/s - to 0.44 m. In other words, a weak fire produces a noticeably inclined and twisted column of smoke, a strong one - almost vertical.</w:t>
      </w:r>
    </w:p>
    <w:p>
      <w:pPr>
        <w:pageBreakBefore w:val="0"/>
        <w:spacing w:after="80" w:line="269" w:lineRule="auto"/>
        <w:ind w:firstLine="397"/>
        <w:jc w:val="both"/>
      </w:pPr>
      <w:r>
        <w:rPr>
          <w:rFonts w:ascii="Times New Roman" w:hAnsi="Times New Roman" w:eastAsia="Times New Roman"/>
          <w:b w:val="0"/>
          <w:i w:val="0"/>
          <w:color w:val="20252B"/>
          <w:sz w:val="20"/>
        </w:rPr>
        <w:t>There are two practical consequences. First: smoke removal cannot be designed according to earthly rules, placing the hood directly above the hearth - the smoke goes sideways, and mainly in one direction, determined by the direction of rotation. Second: the horizontal spread of the fire will be asymmetrical, and the gaps between buildings should be larger in the direction where the flame is blowing.</w:t>
      </w:r>
    </w:p>
    <w:p>
      <w:pPr>
        <w:pageBreakBefore w:val="0"/>
        <w:spacing w:after="80" w:line="269" w:lineRule="auto"/>
        <w:ind w:firstLine="397"/>
        <w:jc w:val="both"/>
      </w:pPr>
      <w:r>
        <w:rPr>
          <w:rFonts w:ascii="Times New Roman" w:hAnsi="Times New Roman" w:eastAsia="Times New Roman"/>
          <w:b w:val="0"/>
          <w:i w:val="0"/>
          <w:color w:val="20252B"/>
          <w:sz w:val="20"/>
        </w:rPr>
        <w:t>The danger of increasing the proportion of oxygen is separately noted. At 24%, the burning rate approximately doubles, and at 30%, materials considered non-combustible ignite. Since oxygen is produced by crops with a 116-fold reserve (clause 6.1), the system for regulating the composition of the atmosphere must be protected not only from a lack of oxygen, but also from its excess.</w:t>
      </w:r>
    </w:p>
    <w:p>
      <w:pPr>
        <w:pStyle w:val="Heading2"/>
        <w:keepNext/>
        <w:pageBreakBefore w:val="0"/>
        <w:spacing w:after="40"/>
        <w:jc w:val="left"/>
      </w:pPr>
      <w:r>
        <w:rPr>
          <w:rFonts w:ascii="Times New Roman" w:hAnsi="Times New Roman" w:eastAsia="Times New Roman"/>
          <w:b w:val="0"/>
          <w:i w:val="0"/>
          <w:color w:val="20252B"/>
          <w:sz w:val="20"/>
        </w:rPr>
        <w:t>7.6. Aging of a structure over a service life of centuries</w:t>
      </w:r>
    </w:p>
    <w:p>
      <w:pPr>
        <w:pageBreakBefore w:val="0"/>
        <w:spacing w:after="80" w:line="269" w:lineRule="auto"/>
        <w:ind w:firstLine="397"/>
        <w:jc w:val="both"/>
      </w:pPr>
      <w:r>
        <w:rPr>
          <w:rFonts w:ascii="Times New Roman" w:hAnsi="Times New Roman" w:eastAsia="Times New Roman"/>
          <w:b w:val="0"/>
          <w:i w:val="0"/>
          <w:color w:val="20252B"/>
          <w:sz w:val="20"/>
        </w:rPr>
        <w:t>The station is designed for a period measured in centuries. Two destruction processes can already be assessed.</w:t>
      </w:r>
    </w:p>
    <w:p>
      <w:pPr>
        <w:pageBreakBefore w:val="0"/>
        <w:spacing w:after="80" w:line="269" w:lineRule="auto"/>
        <w:ind w:firstLine="397"/>
        <w:jc w:val="both"/>
      </w:pPr>
      <w:r>
        <w:rPr>
          <w:rFonts w:ascii="Times New Roman" w:hAnsi="Times New Roman" w:eastAsia="Times New Roman"/>
          <w:b w:val="0"/>
          <w:i w:val="0"/>
          <w:color w:val="20252B"/>
          <w:sz w:val="20"/>
        </w:rPr>
        <w:t>Corrosion. The power belt made of 18Ni(300) steel faces inward, towards an atmosphere containing oxygen and water vapor, a corrosive environment. Maraging steels are highly resistant, and at a corrosion rate of 0.001 mm per year, loss of the design thickness of 0.85 m would take 850 thousand years; at 0.01 mm per year - 85 thousand years; even at 0.1 mm per year - 8.5 thousand years. Conclusion: uniform corrosion does not pose a threat. The danger is created by local corrosion - pitting and crevice, as well as stress corrosion cracking, since the belt is loaded up to 1,308 MPa with a limit of 2,000 MPa. These types of destruction are not extrapolated from the average rate and require constant monitoring of the condition of the metal.</w:t>
      </w:r>
    </w:p>
    <w:p>
      <w:pPr>
        <w:pageBreakBefore w:val="0"/>
        <w:spacing w:after="80" w:line="269" w:lineRule="auto"/>
        <w:ind w:firstLine="397"/>
        <w:jc w:val="both"/>
      </w:pPr>
      <w:r>
        <w:rPr>
          <w:rFonts w:ascii="Times New Roman" w:hAnsi="Times New Roman" w:eastAsia="Times New Roman"/>
          <w:b w:val="0"/>
          <w:i w:val="0"/>
          <w:color w:val="20252B"/>
          <w:sz w:val="20"/>
        </w:rPr>
        <w:t>Fatigue. The daily cycle of lighting causes fluctuations in temperature and pressure. Over 200 years, approximately 73,000 cycles accumulate, while the endurance limit test base is 2·10⁶ cycles. Thus, about 4% of the resource is used, and at stresses below the endurance limit, fatigue failure does not occur at all. The danger again shifts to stress concentrators: welds, holes for shafts, bearing mounting points.</w:t>
      </w:r>
    </w:p>
    <w:p>
      <w:pPr>
        <w:pageBreakBefore w:val="0"/>
        <w:spacing w:after="80" w:line="269" w:lineRule="auto"/>
        <w:ind w:firstLine="397"/>
        <w:jc w:val="both"/>
      </w:pPr>
      <w:r>
        <w:rPr>
          <w:rFonts w:ascii="Times New Roman" w:hAnsi="Times New Roman" w:eastAsia="Times New Roman"/>
          <w:b w:val="0"/>
          <w:i w:val="0"/>
          <w:color w:val="20252B"/>
          <w:sz w:val="20"/>
        </w:rPr>
        <w:t>Hence the general conclusion regarding durability: the structure as a whole outlives its design life with a large margin, and the service life is determined not by the material, but by the quality of the connections and completeness of control. The program for periodic inspection of the shell - 28 billion tons of shell, area of about 1,500 km² per cylinder - is becoming an independent engineering system, comparable in scope of work to thermoregulation. It hasn't been developed yet.</w:t>
      </w:r>
    </w:p>
    <w:p>
      <w:pPr>
        <w:pStyle w:val="Heading2"/>
        <w:keepNext/>
        <w:pageBreakBefore w:val="0"/>
        <w:spacing w:after="40"/>
        <w:jc w:val="left"/>
      </w:pPr>
      <w:r>
        <w:rPr>
          <w:rFonts w:ascii="Times New Roman" w:hAnsi="Times New Roman" w:eastAsia="Times New Roman"/>
          <w:b w:val="0"/>
          <w:i w:val="0"/>
          <w:color w:val="20252B"/>
          <w:sz w:val="20"/>
        </w:rPr>
        <w:t>7.7. Solar panels for bow domes</w:t>
      </w:r>
    </w:p>
    <w:p>
      <w:pPr>
        <w:pageBreakBefore w:val="0"/>
        <w:spacing w:after="80" w:line="269" w:lineRule="auto"/>
        <w:ind w:firstLine="397"/>
        <w:jc w:val="both"/>
      </w:pPr>
      <w:r>
        <w:rPr>
          <w:rFonts w:ascii="Times New Roman" w:hAnsi="Times New Roman" w:eastAsia="Times New Roman"/>
          <w:b w:val="0"/>
          <w:i w:val="0"/>
          <w:color w:val="20252B"/>
          <w:sz w:val="20"/>
        </w:rPr>
        <w:t>The station includes an additional energy source: photovoltaic batteries covering the surface of the nose dome of each cylinder. The reactor plant remains the main source, and the batteries convert light into electricity rather than illuminating the interior. The mirror system and solar sail are not included in the project.</w:t>
      </w:r>
    </w:p>
    <w:p>
      <w:pPr>
        <w:pageBreakBefore w:val="0"/>
        <w:spacing w:after="80" w:line="269" w:lineRule="auto"/>
        <w:ind w:firstLine="397"/>
        <w:jc w:val="both"/>
      </w:pPr>
      <w:r>
        <w:rPr>
          <w:rFonts w:ascii="Times New Roman" w:hAnsi="Times New Roman" w:eastAsia="Times New Roman"/>
          <w:b w:val="0"/>
          <w:i w:val="0"/>
          <w:color w:val="20252B"/>
          <w:sz w:val="20"/>
        </w:rPr>
        <w:t>Area and power. The collected power is determined by the area of projection of the batteries in the direction of the beam. The total area of the six rear wings is taken to be 586.8 km², that is, 97.8 km² per wing and 293.4 km² per rear cylinder frame. With a solar constant at point L1 of 1,361 W/m², photoconverter efficiency of 25% and a fill factor of 0.268, 53.4 GW is collected - 7.41% of the station’s electrical power.</w:t>
      </w:r>
    </w:p>
    <w:p>
      <w:pPr>
        <w:pageBreakBefore w:val="0"/>
        <w:spacing w:after="80" w:line="269" w:lineRule="auto"/>
        <w:ind w:firstLine="397"/>
        <w:jc w:val="both"/>
      </w:pPr>
      <w:r>
        <w:rPr>
          <w:rFonts w:ascii="Times New Roman" w:hAnsi="Times New Roman" w:eastAsia="Times New Roman"/>
          <w:b w:val="0"/>
          <w:i w:val="0"/>
          <w:color w:val="20252B"/>
          <w:sz w:val="20"/>
        </w:rPr>
        <w:t>With a solar constant at point L1 of 1,361 W/m², an efficiency of photoconverters of 25% and a wing fill factor of 0.268, 53.4 GW is collected - 7.41% of the station’s electrical power. The value is comparable to the consumption of a retention installation (63.4 GW) and doubles the total demand for household and life support (26 GW).</w:t>
      </w:r>
    </w:p>
    <w:p>
      <w:pPr>
        <w:pageBreakBefore w:val="0"/>
        <w:spacing w:after="80" w:line="269" w:lineRule="auto"/>
        <w:ind w:firstLine="397"/>
        <w:jc w:val="both"/>
      </w:pPr>
      <w:r>
        <w:rPr>
          <w:rFonts w:ascii="Times New Roman" w:hAnsi="Times New Roman" w:eastAsia="Times New Roman"/>
          <w:b w:val="0"/>
          <w:i w:val="0"/>
          <w:color w:val="20252B"/>
          <w:sz w:val="20"/>
        </w:rPr>
        <w:t>An option with a fixed covering of the domes with photocells was considered. It has the advantage that the projection of the hemisphere to any direction inside it is constant and equal to the circle πR², that is, the recoil does not depend on the angle of incidence. The option was rejected: the direction to the luminary goes around a full circle in a year, and the motionless covering of the nasal domes would only work for half the year.</w:t>
      </w:r>
    </w:p>
    <w:p>
      <w:pPr>
        <w:pageBreakBefore w:val="0"/>
        <w:spacing w:after="80" w:line="269" w:lineRule="auto"/>
        <w:ind w:firstLine="397"/>
        <w:jc w:val="both"/>
      </w:pPr>
      <w:r>
        <w:rPr>
          <w:rFonts w:ascii="Times New Roman" w:hAnsi="Times New Roman" w:eastAsia="Times New Roman"/>
          <w:b w:val="0"/>
          <w:i w:val="0"/>
          <w:color w:val="20252B"/>
          <w:sz w:val="20"/>
        </w:rPr>
        <w:t>The limitation arising from clause 11.6. The station axis is motionless in inertial space and does not rotate after the Sun: a turn would require a moment of 2.41·10¹² N·m. Meanwhile, the station, together with point L1, revolves around the Sun with a period of a year, that is, the direction to the Sun moves away relative to the fixed axis at a speed of 0.986 degrees per day and goes around a full circle in a year. It follows that the bow batteries are illuminated for only half of the year, and the average annual output is 26.7 GW.</w:t>
      </w:r>
    </w:p>
    <w:p>
      <w:pPr>
        <w:pageBreakBefore w:val="0"/>
        <w:spacing w:after="80" w:line="269" w:lineRule="auto"/>
        <w:ind w:firstLine="397"/>
        <w:jc w:val="both"/>
      </w:pPr>
      <w:r>
        <w:rPr>
          <w:rFonts w:ascii="Times New Roman" w:hAnsi="Times New Roman" w:eastAsia="Times New Roman"/>
          <w:b w:val="0"/>
          <w:i w:val="0"/>
          <w:color w:val="20252B"/>
          <w:sz w:val="20"/>
        </w:rPr>
        <w:t>Photovoltaic batteries are placed on drop-down rotating wings mounted on bearing units. The wings rotate towards the luminary independently of the fixed body, so auxiliary generation is available throughout the year.</w:t>
      </w:r>
    </w:p>
    <w:p>
      <w:pPr>
        <w:pageBreakBefore w:val="0"/>
        <w:spacing w:after="80" w:line="269" w:lineRule="auto"/>
        <w:ind w:firstLine="397"/>
        <w:jc w:val="both"/>
      </w:pPr>
      <w:r>
        <w:rPr>
          <w:rFonts w:ascii="Times New Roman" w:hAnsi="Times New Roman" w:eastAsia="Times New Roman"/>
          <w:b w:val="0"/>
          <w:i w:val="0"/>
          <w:color w:val="20252B"/>
          <w:sz w:val="20"/>
        </w:rPr>
        <w:t>Wing structure. Each of the six wings is assembled from folding sections that open after deployment like an accordion; When folded, the wing is retracted to the rear unit. The wing rests on a motorized two-degree-of-freedom pivot joint located on a non-rotating portion of the rear frame. Three hinges of one frame are spaced 120° apart in local azimuth.</w:t>
      </w:r>
    </w:p>
    <w:p>
      <w:pPr>
        <w:pageBreakBefore w:val="0"/>
        <w:spacing w:after="80" w:line="269" w:lineRule="auto"/>
        <w:ind w:firstLine="397"/>
        <w:jc w:val="both"/>
      </w:pPr>
      <w:r>
        <w:rPr>
          <w:rFonts w:ascii="Times New Roman" w:hAnsi="Times New Roman" w:eastAsia="Times New Roman"/>
          <w:b w:val="0"/>
          <w:i w:val="0"/>
          <w:color w:val="20252B"/>
          <w:sz w:val="20"/>
        </w:rPr>
        <w:t>Tracking. At point L1, the direction to the Sun moves relative to the stationary axis of the station by 0.986 degrees per day, making a full revolution per year; the drive processes this movement continuously. Two degrees of freedom of the hinge allow you to point the wings at the luminary in any position, and not just within the front hemisphere. For a flight to another star, the same scheme is suitable without modifications: only the guidance program changes, and when moving away from the star, the illumination drops, and the power goes to the reactor installation.</w:t>
      </w:r>
    </w:p>
    <w:p>
      <w:pPr>
        <w:pageBreakBefore w:val="0"/>
        <w:spacing w:after="80" w:line="269" w:lineRule="auto"/>
        <w:ind w:firstLine="397"/>
        <w:jc w:val="both"/>
      </w:pPr>
      <w:r>
        <w:rPr>
          <w:rFonts w:ascii="Times New Roman" w:hAnsi="Times New Roman" w:eastAsia="Times New Roman"/>
          <w:b w:val="0"/>
          <w:i w:val="0"/>
          <w:color w:val="20252B"/>
          <w:sz w:val="20"/>
        </w:rPr>
        <w:t>The estimated area of the six rear wings is taken to be 586.8 km², that is, 97.8 km² per wing. When constantly pointing at the star, the entire area acts as a projection, and the collected power is 53.4 GW. Weight at a specific weight of 2 kg/m²—1.17 million tons, 0.0025% of the station’s mass; is not reflected in the mass balance (clause 4.3).</w:t>
      </w:r>
    </w:p>
    <w:p>
      <w:pPr>
        <w:pageBreakBefore w:val="0"/>
        <w:spacing w:after="80" w:line="269" w:lineRule="auto"/>
        <w:ind w:firstLine="397"/>
        <w:jc w:val="both"/>
      </w:pPr>
      <w:r>
        <w:rPr>
          <w:rFonts w:ascii="Times New Roman" w:hAnsi="Times New Roman" w:eastAsia="Times New Roman"/>
          <w:b w:val="0"/>
          <w:i w:val="0"/>
          <w:color w:val="20252B"/>
          <w:sz w:val="20"/>
        </w:rPr>
        <w:t>Degradation. Photoconverters lose about 0.5% of output per year from radiation damage: after 25 years, 88% of the original power remains, after 50 years 78%, after 100 years 61%, after 200 years 37%. Replacement of sections is provided for in the repair cycle along with the casing (clause 7.6); Since the batteries provide an auxiliary 7% of power, their degradation is not critical to the plant's power supply.</w:t>
      </w:r>
    </w:p>
    <w:p/>
    <w:p>
      <w:pPr>
        <w:spacing w:before="200"/>
        <w:jc w:val="center"/>
      </w:pPr>
      <w:r>
        <w:rPr>
          <w:b/>
          <w:color w:val="2E5496"/>
          <w:sz w:val="17"/>
        </w:rPr>
        <w:t>СПИСОК ЛИТЕРАТУРЫ РАЗДЕЛА / REFERENCES OF THIS SECTION</w:t>
      </w:r>
    </w:p>
    <w:p>
      <w:pPr>
        <w:ind w:left="340" w:hanging="340"/>
      </w:pPr>
      <w:r>
        <w:rPr>
          <w:sz w:val="18"/>
        </w:rPr>
        <w:t>1. Нормы потребления, санитарные пороги по кислороду и углекислому газу, нормы озеленения Всемирной организации здравоохранения, удельные показатели почвенной биоты и энергоёмкости растениеводства. [Нормативные величины; использованы в разделах 5, 29.]</w:t>
      </w:r>
    </w:p>
    <w:p>
      <w:pPr>
        <w:ind w:left="340" w:hanging="340"/>
      </w:pPr>
      <w:r>
        <w:rPr>
          <w:sz w:val="18"/>
        </w:rPr>
        <w:t>1. Consumption norms, health thresholds for oxygen and carbon dioxide, World Health Organization greening norms, specific indicators of soil biota and energy intensity of crop production. [Regulatory values; used in sections 5 and 29.]</w:t>
      </w:r>
    </w:p>
    <w:p>
      <w:r>
        <w:rPr>
          <w:b/>
          <w:sz w:val="18"/>
        </w:rPr>
        <w:t>Кроме того, раздел опирается на собственные допущения публикации:</w:t>
      </w:r>
    </w:p>
    <w:p>
      <w:pPr>
        <w:ind w:left="340" w:hanging="340"/>
      </w:pPr>
      <w:r>
        <w:rPr>
          <w:sz w:val="18"/>
        </w:rPr>
        <w:t>· Энергия и тепло: электрический, тепловой и радиаторный балансы являются стационарными оценками.</w:t>
      </w:r>
    </w:p>
    <w:p>
      <w:pPr>
        <w:ind w:left="340" w:hanging="340"/>
      </w:pPr>
      <w:r>
        <w:rPr>
          <w:sz w:val="18"/>
        </w:rPr>
        <w:t>· Energy and heat: electrical, thermal and radiator balances are steady-state estimates.</w:t>
      </w:r>
    </w:p>
    <w:p>
      <w:pPr>
        <w:ind w:left="340" w:hanging="340"/>
      </w:pPr>
      <w:r>
        <w:rPr>
          <w:sz w:val="18"/>
        </w:rPr>
        <w:t>· Нормативные величины: нормы потребления, санитарные пороги по кислороду и углекислому газу, нормы озеленения.</w:t>
      </w:r>
    </w:p>
    <w:p>
      <w:pPr>
        <w:ind w:left="340" w:hanging="340"/>
      </w:pPr>
      <w:r>
        <w:rPr>
          <w:sz w:val="18"/>
        </w:rPr>
        <w:t>· Regulatory values: consumption norms, health thresholds for oxygen and carbon dioxide, greening norms.</w:t>
      </w:r>
    </w:p>
    <w:sectPr w:rsidR="00FC693F" w:rsidRPr="0006063C" w:rsidSect="00034616">
      <w:pgSz w:w="11906" w:h="16838"/>
      <w:pgMar w:top="1134" w:right="964" w:bottom="113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1F386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9.png"/><Relationship Id="rId1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