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8 / Section 8</w:t>
      </w:r>
    </w:p>
    <w:p>
      <w:pPr>
        <w:jc w:val="center"/>
      </w:pPr>
      <w:r>
        <w:rPr>
          <w:b/>
          <w:color w:val="1F3864"/>
          <w:sz w:val="26"/>
        </w:rPr>
        <w:t>8. ПРОГРАММА ДОБЫЧИ ЛЕТУЧИХ И ВОДЫ</w:t>
      </w:r>
    </w:p>
    <w:p>
      <w:pPr>
        <w:jc w:val="center"/>
      </w:pPr>
      <w:r>
        <w:rPr>
          <w:b/>
          <w:color w:val="1F3864"/>
          <w:sz w:val="26"/>
        </w:rPr>
        <w:t>8. VOLATILE AND WATER EXTRACTION PROGRAM</w:t>
      </w:r>
    </w:p>
    <w:p>
      <w:pPr>
        <w:jc w:val="center"/>
      </w:pPr>
      <w:r>
        <w:rPr>
          <w:i/>
          <w:sz w:val="17"/>
        </w:rPr>
        <w:t>Редакция 8 · 31 октября 2026 г.  ·  документ 10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8. ПРОГРАММА ДОБЫЧИ ЛЕТУЧИХ И ВОДЫ</w:t>
      </w:r>
    </w:p>
    <w:p>
      <w:pPr>
        <w:pageBreakBefore w:val="0"/>
        <w:spacing w:after="80" w:line="269" w:lineRule="auto"/>
        <w:ind w:firstLine="397"/>
        <w:jc w:val="both"/>
      </w:pPr>
      <w:r>
        <w:rPr>
          <w:rFonts w:ascii="Times New Roman" w:hAnsi="Times New Roman" w:eastAsia="Times New Roman"/>
          <w:b w:val="0"/>
          <w:i w:val="0"/>
          <w:color w:val="20252B"/>
          <w:sz w:val="20"/>
        </w:rPr>
        <w:t>Программа добычи охватывает атмосферные летучие общей массой 7,55 млрд т и воду массой 1,17 млрд т. Для воды и летучих разработан концептуальный контур добычи в настоящей главе; промышленный график, квалификация оборудования и полномасштабные испытания требуют отдельной разработки.</w:t>
      </w:r>
    </w:p>
    <w:p>
      <w:pPr>
        <w:pStyle w:val="Heading2"/>
        <w:keepNext/>
        <w:pageBreakBefore w:val="0"/>
        <w:spacing w:after="40"/>
        <w:jc w:val="left"/>
      </w:pPr>
      <w:r>
        <w:rPr>
          <w:rFonts w:ascii="Times New Roman" w:hAnsi="Times New Roman" w:eastAsia="Times New Roman"/>
          <w:b/>
          <w:i w:val="0"/>
          <w:color w:val="2F5D83"/>
          <w:sz w:val="25"/>
        </w:rPr>
        <w:t>8.1. Состав потребных летучих</w:t>
      </w:r>
    </w:p>
    <w:p>
      <w:pPr>
        <w:pageBreakBefore w:val="0"/>
        <w:spacing w:after="80" w:line="269" w:lineRule="auto"/>
        <w:ind w:firstLine="397"/>
        <w:jc w:val="both"/>
      </w:pPr>
      <w:r>
        <w:rPr>
          <w:rFonts w:ascii="Times New Roman" w:hAnsi="Times New Roman" w:eastAsia="Times New Roman"/>
          <w:b w:val="0"/>
          <w:i w:val="0"/>
          <w:color w:val="20252B"/>
          <w:sz w:val="20"/>
        </w:rPr>
        <w:t>Атмосферный баланс станции составляет 7,55 млрд т; его радиальное распределение рассчитано по вращательному барометрическому закону. Вода учитывается отдельно — 1,17 млрд т. Добыча и подготовка этих потоков рассматриваются раздельно по источникам и технологии.</w:t>
      </w:r>
    </w:p>
    <w:p>
      <w:pPr>
        <w:pStyle w:val="Heading2"/>
        <w:keepNext/>
        <w:pageBreakBefore w:val="0"/>
        <w:spacing w:after="40"/>
        <w:jc w:val="left"/>
      </w:pPr>
      <w:r>
        <w:rPr>
          <w:rFonts w:ascii="Times New Roman" w:hAnsi="Times New Roman" w:eastAsia="Times New Roman"/>
          <w:b/>
          <w:i w:val="0"/>
          <w:color w:val="2F5D83"/>
          <w:sz w:val="25"/>
        </w:rPr>
        <w:t>8.2. Кислород: отдельной программы не требуется</w:t>
      </w:r>
    </w:p>
    <w:p>
      <w:pPr>
        <w:pageBreakBefore w:val="0"/>
        <w:spacing w:after="80" w:line="269" w:lineRule="auto"/>
        <w:ind w:firstLine="397"/>
        <w:jc w:val="both"/>
      </w:pPr>
      <w:r>
        <w:rPr>
          <w:rFonts w:ascii="Times New Roman" w:hAnsi="Times New Roman" w:eastAsia="Times New Roman"/>
          <w:b w:val="0"/>
          <w:i w:val="0"/>
          <w:color w:val="20252B"/>
          <w:sz w:val="20"/>
        </w:rPr>
        <w:t>Кислород — самый распространённый элемент каменных тел Солнечной системы. Для получения расчётной кислородной квоты около 1,69 млрд т достаточно переработать около 3,94 млрд т силикатного реголита.</w:t>
      </w:r>
    </w:p>
    <w:p>
      <w:pPr>
        <w:pageBreakBefore w:val="0"/>
        <w:spacing w:after="80" w:line="269" w:lineRule="auto"/>
        <w:ind w:firstLine="397"/>
        <w:jc w:val="both"/>
      </w:pPr>
      <w:r>
        <w:rPr>
          <w:rFonts w:ascii="Times New Roman" w:hAnsi="Times New Roman" w:eastAsia="Times New Roman"/>
          <w:b w:val="0"/>
          <w:i w:val="0"/>
          <w:color w:val="20252B"/>
          <w:sz w:val="20"/>
        </w:rPr>
        <w:t>Проект предусматривает переработку 4,65 млрд т реголита и боросиликата для радиационной защиты и 8,13 млрд т грунта. Кислород извлекается попутно из уже добываемого силикатного сырья; отдельная промышленная установка остаётся задачей квалификации.</w:t>
      </w:r>
    </w:p>
    <w:p>
      <w:pPr>
        <w:pageBreakBefore w:val="0"/>
        <w:spacing w:after="80" w:line="269" w:lineRule="auto"/>
        <w:ind w:firstLine="397"/>
        <w:jc w:val="both"/>
      </w:pPr>
      <w:r>
        <w:rPr>
          <w:rFonts w:ascii="Times New Roman" w:hAnsi="Times New Roman" w:eastAsia="Times New Roman"/>
          <w:b w:val="0"/>
          <w:i w:val="0"/>
          <w:color w:val="20252B"/>
          <w:sz w:val="20"/>
        </w:rPr>
        <w:t>Энергетическая оценка извлечения кислорода составляет порядка 2,5·10¹⁰ МВт·ч для 1,69 млрд т; график добычи и энергетика внешнего добывающего комплекса требуют отдельного проектирования.</w:t>
      </w:r>
    </w:p>
    <w:p>
      <w:pPr>
        <w:pStyle w:val="Heading2"/>
        <w:keepNext/>
        <w:pageBreakBefore w:val="0"/>
        <w:spacing w:after="40"/>
        <w:jc w:val="left"/>
      </w:pPr>
      <w:r>
        <w:rPr>
          <w:rFonts w:ascii="Times New Roman" w:hAnsi="Times New Roman" w:eastAsia="Times New Roman"/>
          <w:b/>
          <w:i w:val="0"/>
          <w:color w:val="2F5D83"/>
          <w:sz w:val="25"/>
        </w:rPr>
        <w:t>8.3. Вода: достижимо</w:t>
      </w:r>
    </w:p>
    <w:p>
      <w:pPr>
        <w:pageBreakBefore w:val="0"/>
        <w:spacing w:after="80" w:line="269" w:lineRule="auto"/>
        <w:ind w:firstLine="397"/>
        <w:jc w:val="both"/>
      </w:pPr>
      <w:r>
        <w:rPr>
          <w:rFonts w:ascii="Times New Roman" w:hAnsi="Times New Roman" w:eastAsia="Times New Roman"/>
          <w:b w:val="0"/>
          <w:i w:val="0"/>
          <w:color w:val="20252B"/>
          <w:sz w:val="20"/>
        </w:rPr>
        <w:t>Для получения 1,17 млрд т воды требуется переработать около 5,85 млрд т CI-хондритов при содержании воды 20 % или около 9,75 млрд т CM-хондритов при содержании 12 %. Программа достижима на базе той же добывающей инфраструктуры.</w:t>
      </w:r>
    </w:p>
    <w:p>
      <w:pPr>
        <w:pageBreakBefore w:val="0"/>
        <w:spacing w:after="80" w:line="269" w:lineRule="auto"/>
        <w:ind w:firstLine="397"/>
        <w:jc w:val="both"/>
      </w:pPr>
      <w:r>
        <w:rPr>
          <w:rFonts w:ascii="Times New Roman" w:hAnsi="Times New Roman" w:eastAsia="Times New Roman"/>
          <w:b w:val="0"/>
          <w:i w:val="0"/>
          <w:color w:val="20252B"/>
          <w:sz w:val="20"/>
        </w:rPr>
        <w:t>Вода может служить источником кислорода электролизом, однако расходовать её на эту цель нецелесообразно: кислород извлекается из реголита, а вода в замкнутой системе имеет самостоятельную ресурсную ценность.</w:t>
      </w:r>
    </w:p>
    <w:p>
      <w:pPr>
        <w:pStyle w:val="Heading2"/>
        <w:keepNext/>
        <w:pageBreakBefore w:val="0"/>
        <w:spacing w:after="40"/>
        <w:jc w:val="left"/>
      </w:pPr>
      <w:r>
        <w:rPr>
          <w:rFonts w:ascii="Times New Roman" w:hAnsi="Times New Roman" w:eastAsia="Times New Roman"/>
          <w:b/>
          <w:i w:val="0"/>
          <w:color w:val="2F5D83"/>
          <w:sz w:val="25"/>
        </w:rPr>
        <w:t>8.4. Азот: позиция, определяющая программу</w:t>
      </w:r>
    </w:p>
    <w:p>
      <w:pPr>
        <w:pageBreakBefore w:val="0"/>
        <w:spacing w:after="80" w:line="269" w:lineRule="auto"/>
        <w:ind w:firstLine="397"/>
        <w:jc w:val="both"/>
      </w:pPr>
      <w:r>
        <w:rPr>
          <w:rFonts w:ascii="Times New Roman" w:hAnsi="Times New Roman" w:eastAsia="Times New Roman"/>
          <w:b w:val="0"/>
          <w:i w:val="0"/>
          <w:color w:val="20252B"/>
          <w:sz w:val="20"/>
        </w:rPr>
        <w:t>Азот является наиболее сложной частью атмосферной программы. При принятой оценке 5,51 млрд т азота переработка углистых хондритов с содержанием 0,15 % потребовала бы около 3 674 млрд т сырья; этот путь неприемлем.</w:t>
      </w:r>
    </w:p>
    <w:p>
      <w:pPr>
        <w:pageBreakBefore w:val="0"/>
        <w:spacing w:after="80" w:line="269" w:lineRule="auto"/>
        <w:ind w:firstLine="397"/>
        <w:jc w:val="both"/>
      </w:pPr>
      <w:r>
        <w:rPr>
          <w:rFonts w:ascii="Times New Roman" w:hAnsi="Times New Roman" w:eastAsia="Times New Roman"/>
          <w:b w:val="0"/>
          <w:i w:val="0"/>
          <w:color w:val="20252B"/>
          <w:sz w:val="20"/>
        </w:rPr>
        <w:t>Кометные льды содержат азотистые соединения примерно на уровне 1 % массы ядра. Для потребности 5,51 млрд т требуется около 551 млрд т кометного сырья; вариант технически возможен, но требует отдельной транспортной программы.</w:t>
      </w:r>
    </w:p>
    <w:p>
      <w:pPr>
        <w:pageBreakBefore w:val="0"/>
        <w:spacing w:after="80" w:line="269" w:lineRule="auto"/>
        <w:ind w:firstLine="397"/>
        <w:jc w:val="both"/>
      </w:pPr>
      <w:r>
        <w:rPr>
          <w:rFonts w:ascii="Times New Roman" w:hAnsi="Times New Roman" w:eastAsia="Times New Roman"/>
          <w:b w:val="0"/>
          <w:i w:val="0"/>
          <w:color w:val="20252B"/>
          <w:sz w:val="20"/>
        </w:rPr>
        <w:t>Атмосфера Титана содержит доступный азот, однако расстояние и энергетика транспортировки делают этот источник резервным вариантом.</w:t>
      </w:r>
    </w:p>
    <w:p>
      <w:pPr>
        <w:pageBreakBefore w:val="0"/>
        <w:spacing w:after="80" w:line="269" w:lineRule="auto"/>
        <w:ind w:firstLine="397"/>
        <w:jc w:val="both"/>
      </w:pPr>
      <w:r>
        <w:rPr>
          <w:rFonts w:ascii="Times New Roman" w:hAnsi="Times New Roman" w:eastAsia="Times New Roman"/>
          <w:b w:val="0"/>
          <w:i w:val="0"/>
          <w:color w:val="20252B"/>
          <w:sz w:val="20"/>
        </w:rPr>
        <w:t>При строительстве станции за 50 лет грузопоток по азоту составил бы около 110 млн т в год, а по стали — около 403 млн т в год. Транспортная программа должна учитывать источник, окна перелёта и резерв поставок.</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698912"/>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69891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21 — программа добычи летучих: потребные объёмы сырья по источникам</w:t>
      </w:r>
    </w:p>
    <w:p>
      <w:pPr>
        <w:pStyle w:val="Heading2"/>
        <w:keepNext/>
        <w:pageBreakBefore w:val="0"/>
        <w:spacing w:after="40"/>
        <w:jc w:val="left"/>
      </w:pPr>
      <w:r>
        <w:rPr>
          <w:rFonts w:ascii="Times New Roman" w:hAnsi="Times New Roman" w:eastAsia="Times New Roman"/>
          <w:b/>
          <w:i w:val="0"/>
          <w:color w:val="2F5D83"/>
          <w:sz w:val="25"/>
        </w:rPr>
        <w:t>8.5. Вариант снижения потребности в азоте</w:t>
      </w:r>
    </w:p>
    <w:p>
      <w:pPr>
        <w:pageBreakBefore w:val="0"/>
        <w:spacing w:after="80" w:line="269" w:lineRule="auto"/>
        <w:ind w:firstLine="397"/>
        <w:jc w:val="both"/>
      </w:pPr>
      <w:r>
        <w:rPr>
          <w:rFonts w:ascii="Times New Roman" w:hAnsi="Times New Roman" w:eastAsia="Times New Roman"/>
          <w:b w:val="0"/>
          <w:i w:val="0"/>
          <w:color w:val="20252B"/>
          <w:sz w:val="20"/>
        </w:rPr>
        <w:t>Дополнительный вариант — снизить массу буферного газа, а не только наращивать добычу. Земной состав атмосферы принят как базовый, но не является единственным физиологически возможным режимом.</w:t>
      </w:r>
    </w:p>
    <w:p>
      <w:pPr>
        <w:pageBreakBefore w:val="0"/>
        <w:spacing w:after="80" w:line="269" w:lineRule="auto"/>
        <w:ind w:firstLine="397"/>
        <w:jc w:val="both"/>
      </w:pPr>
      <w:r>
        <w:rPr>
          <w:rFonts w:ascii="Times New Roman" w:hAnsi="Times New Roman" w:eastAsia="Times New Roman"/>
          <w:b w:val="0"/>
          <w:i w:val="0"/>
          <w:color w:val="20252B"/>
          <w:sz w:val="20"/>
        </w:rPr>
        <w:t>При снижении общего давления до 70 кПа и доле кислорода 30 % парциальное давление кислорода сохраняется, а масса атмосферы ориентировочно снижается до 5,26 млрд т; потребность в азоте — до 3,53 млрд т. Решение требует отдельной оценки пожарной безопасности.</w:t>
      </w:r>
    </w:p>
    <w:p>
      <w:pPr>
        <w:pageBreakBefore w:val="0"/>
        <w:spacing w:after="80" w:line="269" w:lineRule="auto"/>
        <w:ind w:firstLine="397"/>
        <w:jc w:val="both"/>
      </w:pPr>
      <w:r>
        <w:rPr>
          <w:rFonts w:ascii="Times New Roman" w:hAnsi="Times New Roman" w:eastAsia="Times New Roman"/>
          <w:b w:val="0"/>
          <w:i w:val="0"/>
          <w:color w:val="20252B"/>
          <w:sz w:val="20"/>
        </w:rPr>
        <w:t>Замена азота гелием снизила бы массу атмосферы до 2,18 млрд т, но гелий в замкнутой системе неудержим: он просачивается через любую неплотность и не имеет источника пополнения. Аргон, напротив, доступен и инертен, однако тяжелее азота, и масса атмосферы возросла бы.</w:t>
      </w:r>
    </w:p>
    <w:p>
      <w:pPr>
        <w:pageBreakBefore w:val="0"/>
        <w:spacing w:after="80" w:line="269" w:lineRule="auto"/>
        <w:ind w:firstLine="397"/>
        <w:jc w:val="both"/>
      </w:pPr>
      <w:r>
        <w:rPr>
          <w:rFonts w:ascii="Times New Roman" w:hAnsi="Times New Roman" w:eastAsia="Times New Roman"/>
          <w:b w:val="0"/>
          <w:i w:val="0"/>
          <w:color w:val="20252B"/>
          <w:sz w:val="20"/>
        </w:rPr>
        <w:t>Полностью отказаться от азота нельзя, и причина не в дыхании, а в биологии. Азот входит в состав белков и аминокислот, и почвенная азотфиксация (п. 6.2) требует его присутствия в атмосфере. Однако количество, необходимое биосфере, несопоставимо меньше атмосферного запаса: при содержании 0,2 % в плодородной почве весь почвенный азот составляет 0,016 млрд т, то есть в 339 раз меньше 5,51 млрд т, растворённых в воздухе. Атмосферный азот нужен не как вещество, а как давление.</w:t>
      </w:r>
    </w:p>
    <w:p>
      <w:pPr>
        <w:pageBreakBefore w:val="0"/>
        <w:spacing w:after="80" w:line="269" w:lineRule="auto"/>
        <w:ind w:firstLine="397"/>
        <w:jc w:val="both"/>
      </w:pPr>
      <w:r>
        <w:rPr>
          <w:rFonts w:ascii="Times New Roman" w:hAnsi="Times New Roman" w:eastAsia="Times New Roman"/>
          <w:b w:val="0"/>
          <w:i w:val="0"/>
          <w:color w:val="20252B"/>
          <w:sz w:val="20"/>
        </w:rPr>
        <w:t>Вариант пониженного давления с повышенной долей кислорода следует рассматривать как альтернативный режим. Окончательный состав атмосферы требует отдельного расчёта пожарной безопасности, физиологии и динамики замкнутого цикла.</w:t>
      </w:r>
    </w:p>
    <w:p>
      <w:pPr>
        <w:pStyle w:val="Heading2"/>
        <w:keepNext/>
        <w:pageBreakBefore w:val="0"/>
        <w:spacing w:after="40"/>
        <w:jc w:val="left"/>
      </w:pPr>
      <w:r>
        <w:rPr>
          <w:rFonts w:ascii="Times New Roman" w:hAnsi="Times New Roman" w:eastAsia="Times New Roman"/>
          <w:b/>
          <w:i w:val="0"/>
          <w:color w:val="2F5D83"/>
          <w:sz w:val="25"/>
        </w:rPr>
        <w:t>8.6. Уточнение доли бытового потребления электроэнергии</w:t>
      </w:r>
    </w:p>
    <w:p>
      <w:pPr>
        <w:pStyle w:val="Heading2"/>
        <w:keepNext/>
        <w:pageBreakBefore w:val="0"/>
        <w:spacing w:after="40"/>
        <w:jc w:val="left"/>
      </w:pPr>
      <w:r>
        <w:rPr>
          <w:rFonts w:ascii="Times New Roman" w:hAnsi="Times New Roman" w:eastAsia="Times New Roman"/>
          <w:b/>
          <w:i w:val="0"/>
          <w:color w:val="2F5D83"/>
          <w:sz w:val="25"/>
        </w:rPr>
        <w:t>8.7. Размещение ресурсных тел в Солнечной системе</w:t>
      </w:r>
    </w:p>
    <w:p>
      <w:pPr>
        <w:pageBreakBefore w:val="0"/>
        <w:spacing w:after="80" w:line="269" w:lineRule="auto"/>
        <w:ind w:firstLine="397"/>
        <w:jc w:val="both"/>
      </w:pPr>
      <w:r>
        <w:rPr>
          <w:rFonts w:ascii="Times New Roman" w:hAnsi="Times New Roman" w:eastAsia="Times New Roman"/>
          <w:b w:val="0"/>
          <w:i w:val="0"/>
          <w:color w:val="20252B"/>
          <w:sz w:val="20"/>
        </w:rPr>
        <w:t>Программа добычи имеет географию, и она определяет транспортное плечо. Ниже приведены конкретные тела, пригодные для каждой позиции, с их орбитальными элементами по базе малых тел Лаборатории реактивного движения.</w:t>
      </w:r>
    </w:p>
    <w:p>
      <w:pPr>
        <w:pageBreakBefore w:val="0"/>
        <w:spacing w:after="80" w:line="269" w:lineRule="auto"/>
        <w:ind w:firstLine="397"/>
        <w:jc w:val="both"/>
      </w:pPr>
      <w:r>
        <w:rPr>
          <w:rFonts w:ascii="Times New Roman" w:hAnsi="Times New Roman" w:eastAsia="Times New Roman"/>
          <w:b w:val="0"/>
          <w:i w:val="0"/>
          <w:color w:val="20252B"/>
          <w:sz w:val="20"/>
        </w:rPr>
        <w:t>Металл. Астероид (6178) 1986 DA, M-типа, диаметром около 3 км, принят в п. 4.12 как основной источник стали и никеля: проекту требуется 94 % его металла. Большая полуось 2,82 а. е., эксцентриситет 0,582, наклонение 4,3°, период обращения 4,7 года. Орбита сильно вытянута: перигелий 1,18 а. е. проходит вблизи земной орбиты, афелий 4,46 а. е. уводит к Юпитеру. Это обстоятельство благоприятно — раз в 4,7 года тело подходит близко к станции, и окна для перевозки открываются регулярно.</w:t>
      </w:r>
    </w:p>
    <w:p>
      <w:pPr>
        <w:pageBreakBefore w:val="0"/>
        <w:spacing w:after="80" w:line="269" w:lineRule="auto"/>
        <w:ind w:firstLine="397"/>
        <w:jc w:val="both"/>
      </w:pPr>
      <w:r>
        <w:rPr>
          <w:rFonts w:ascii="Times New Roman" w:hAnsi="Times New Roman" w:eastAsia="Times New Roman"/>
          <w:b w:val="0"/>
          <w:i w:val="0"/>
          <w:color w:val="20252B"/>
          <w:sz w:val="20"/>
        </w:rPr>
        <w:t>Вода. Карликовая планета (1) Церера, C-типа, большая полуось 2,77 а. е., эксцентриситет 0,079, наклонение 10,6°, период 4,6 года. Содержит водяной лёд в коре и является ближайшим крупным источником воды. Астероид (24) Themis, a = 3,15 а. е., e = 0,117, i = 0,7°, несёт иней водяного льда прямо на поверхности; наклонение менее градуса делает его особенно доступным. Семейство Themis насчитывает тысячи тел сходного состава, что снимает вопрос о запасах.</w:t>
      </w:r>
    </w:p>
    <w:p>
      <w:pPr>
        <w:pageBreakBefore w:val="0"/>
        <w:spacing w:after="80" w:line="269" w:lineRule="auto"/>
        <w:ind w:firstLine="397"/>
        <w:jc w:val="both"/>
      </w:pPr>
      <w:r>
        <w:rPr>
          <w:rFonts w:ascii="Times New Roman" w:hAnsi="Times New Roman" w:eastAsia="Times New Roman"/>
          <w:b w:val="0"/>
          <w:i w:val="0"/>
          <w:color w:val="20252B"/>
          <w:sz w:val="20"/>
        </w:rPr>
        <w:t>Азот. Астероид (10) Hygiea, крупнейшее тело C-класса внешнего пояса, a = 3,14 а. е., e = 0,113, i = 3,8°, содержит аммонийные силикаты — связанный азот. Комета 67P/Чурюмова — Герасименко, a = 3,46 а. е., e = 0,641, i = 7,0°, несёт аммиак и молекулярный азот во льду в количестве около процента массы ядра. Как показано в п. 8.4, кометный путь требует 551 млрд т сырья, то есть пятидесяти пяти тел такого класса.</w:t>
      </w:r>
    </w:p>
    <w:p>
      <w:pPr>
        <w:pageBreakBefore w:val="0"/>
        <w:spacing w:after="80" w:line="269" w:lineRule="auto"/>
        <w:ind w:firstLine="397"/>
        <w:jc w:val="both"/>
      </w:pPr>
      <w:r>
        <w:rPr>
          <w:rFonts w:ascii="Times New Roman" w:hAnsi="Times New Roman" w:eastAsia="Times New Roman"/>
          <w:b w:val="0"/>
          <w:i w:val="0"/>
          <w:color w:val="20252B"/>
          <w:sz w:val="20"/>
        </w:rPr>
        <w:t>Карта ресурсных тел программы вынесена из настоящего документа отдельным листом формата A3, альбомная ориентация (420 × 297 мм), «Ресурсная база программы» (файлы resource_map.png и resource_map.pdf). На ней показаны орбиты Земли, Марса и Юпитера, главный пояс астероидов, троянцы, положение станции в точке L1 и пять ресурсных орбит с точками перигелия и афелия. Текущие положения тел на схеме не отображаются. Диаметры пяти тел вынесены в правую легенду вместе с их ресурсной ролью и орбитальными параметрами. Компоновка рассчитана на печать одним читаемым листом A3: карта занимает левую часть, а легенда источников и материальный баланс — правую.</w:t>
      </w:r>
    </w:p>
    <w:p>
      <w:pPr>
        <w:pageBreakBefore w:val="0"/>
        <w:spacing w:after="80" w:line="269" w:lineRule="auto"/>
        <w:ind w:firstLine="397"/>
        <w:jc w:val="both"/>
      </w:pPr>
      <w:r>
        <w:rPr>
          <w:rFonts w:ascii="Times New Roman" w:hAnsi="Times New Roman" w:eastAsia="Times New Roman"/>
          <w:b w:val="0"/>
          <w:i w:val="0"/>
          <w:color w:val="20252B"/>
          <w:sz w:val="20"/>
        </w:rPr>
        <w:t>Общий вывод по географии программы: все перечисленные тела, кроме кометных, сосредоточены в поясе астероидов на расстояниях от 2,8 до 3,2 а. е. Станция располагается в точке L1 системы Солнце — Земля, то есть вблизи 1 а. е. Транспортное плечо составляет, таким образом, около двух астрономических единиц для основной массы грузов. Вытянутая орбита астероида (6178) 1986 DA сокращает это плечо для металла — главной по массе позиции — в моменты прохождения перигелия.</w:t>
      </w:r>
    </w:p>
    <w:p>
      <w:pPr>
        <w:pageBreakBefore w:val="0"/>
        <w:spacing w:after="80" w:line="269" w:lineRule="auto"/>
        <w:ind w:firstLine="397"/>
        <w:jc w:val="both"/>
      </w:pPr>
      <w:r>
        <w:rPr>
          <w:rFonts w:ascii="Times New Roman" w:hAnsi="Times New Roman" w:eastAsia="Times New Roman"/>
          <w:b w:val="0"/>
          <w:i w:val="0"/>
          <w:color w:val="20252B"/>
          <w:sz w:val="20"/>
        </w:rPr>
        <w:t>В таблице 4.15 и на рисунке 16 статья «быт, транспорт, промышленность» составляет 6 ГВт, что при округлении до целых процентов даёт 0,83 % полной мощности 721,4 ГВт. Прочие доли равны соответственно 69,73 % для осевых светотепловых балок, 13,31 % для тепловых насосов, 8,79 % для удержания, 4,57 % для резерва и потерь и 2,77 % для жизнеобеспечения.</w:t>
      </w:r>
    </w:p>
    <w:p>
      <w:pPr>
        <w:pageBreakBefore w:val="0"/>
        <w:spacing w:after="80" w:line="269" w:lineRule="auto"/>
        <w:ind w:firstLine="397"/>
        <w:jc w:val="both"/>
      </w:pPr>
      <w:r>
        <w:rPr>
          <w:rFonts w:ascii="Times New Roman" w:hAnsi="Times New Roman" w:eastAsia="Times New Roman"/>
          <w:b w:val="0"/>
          <w:i w:val="0"/>
          <w:color w:val="20252B"/>
          <w:sz w:val="20"/>
        </w:rPr>
        <w:t>На одного жителя 6 ГВт при миллионе населения дают 6 000 Вт непрерывной мощности, то есть 144 кВт·ч в сутки. Это в шесть раз больше среднего бытового потребления в России и вчетверо больше, чем в США. Величина, следовательно, не занижена, а напротив, заложена с большим запасом; малой она выглядит лишь на фоне освещения, которое для станции является главной статьёй расхода.</w:t>
      </w:r>
    </w:p>
    <w:p>
      <w:pPr>
        <w:pageBreakBefore w:val="0"/>
        <w:spacing w:after="80" w:line="269" w:lineRule="auto"/>
        <w:ind w:firstLine="397"/>
        <w:jc w:val="both"/>
      </w:pPr>
      <w:r>
        <w:rPr>
          <w:rFonts w:ascii="Times New Roman" w:hAnsi="Times New Roman" w:eastAsia="Times New Roman"/>
          <w:b w:val="0"/>
          <w:i w:val="0"/>
          <w:color w:val="20252B"/>
          <w:sz w:val="20"/>
        </w:rPr>
        <w:t>Разложение 6 ГВт по назначению принимается следующим: жильё — освещение, бытовая техника, приготовление пищи — 2,40 ГВт; промышленность и мастерские — 1,70 ГВт; внутренний транспорт с рекуперацией — 1,10 ГВт; связь, вычисления и управление — 0,50 ГВт; уличное освещение и общественные здания — 0,30 ГВт.</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8. VOLATILE AND WATER EXTRACTION PROGRAM</w:t>
      </w:r>
    </w:p>
    <w:p>
      <w:pPr>
        <w:pageBreakBefore w:val="0"/>
        <w:spacing w:after="80" w:line="269" w:lineRule="auto"/>
        <w:ind w:firstLine="397"/>
        <w:jc w:val="both"/>
      </w:pPr>
      <w:r>
        <w:rPr>
          <w:rFonts w:ascii="Times New Roman" w:hAnsi="Times New Roman" w:eastAsia="Times New Roman"/>
          <w:b w:val="0"/>
          <w:i w:val="0"/>
          <w:color w:val="20252B"/>
          <w:sz w:val="20"/>
        </w:rPr>
        <w:t>The production program covers atmospheric volatiles with a total mass of 7.55 billion tons and water with a total mass of 1.17 billion tons. A conceptual mining outline has been developed for water and volatiles in this chapter; industrial schedule, equipment qualification and full-scale testing require separate development.</w:t>
      </w:r>
    </w:p>
    <w:p>
      <w:pPr>
        <w:pStyle w:val="Heading2"/>
        <w:keepNext/>
        <w:pageBreakBefore w:val="0"/>
        <w:spacing w:after="40"/>
        <w:jc w:val="left"/>
      </w:pPr>
      <w:r>
        <w:rPr>
          <w:rFonts w:ascii="Times New Roman" w:hAnsi="Times New Roman" w:eastAsia="Times New Roman"/>
          <w:b w:val="0"/>
          <w:i w:val="0"/>
          <w:color w:val="20252B"/>
          <w:sz w:val="20"/>
        </w:rPr>
        <w:t>8.1. Composition of required volatiles</w:t>
      </w:r>
    </w:p>
    <w:p>
      <w:pPr>
        <w:pageBreakBefore w:val="0"/>
        <w:spacing w:after="80" w:line="269" w:lineRule="auto"/>
        <w:ind w:firstLine="397"/>
        <w:jc w:val="both"/>
      </w:pPr>
      <w:r>
        <w:rPr>
          <w:rFonts w:ascii="Times New Roman" w:hAnsi="Times New Roman" w:eastAsia="Times New Roman"/>
          <w:b w:val="0"/>
          <w:i w:val="0"/>
          <w:color w:val="20252B"/>
          <w:sz w:val="20"/>
        </w:rPr>
        <w:t>The atmospheric balance of the station is 7.55 billion tons; its radial distribution is calculated according to the rotational barometric law. Water is taken into account separately - 1.17 billion tons. The extraction and preparation of these streams are considered separately by source and technology.</w:t>
      </w:r>
    </w:p>
    <w:p>
      <w:pPr>
        <w:pStyle w:val="Heading2"/>
        <w:keepNext/>
        <w:pageBreakBefore w:val="0"/>
        <w:spacing w:after="40"/>
        <w:jc w:val="left"/>
      </w:pPr>
      <w:r>
        <w:rPr>
          <w:rFonts w:ascii="Times New Roman" w:hAnsi="Times New Roman" w:eastAsia="Times New Roman"/>
          <w:b w:val="0"/>
          <w:i w:val="0"/>
          <w:color w:val="20252B"/>
          <w:sz w:val="20"/>
        </w:rPr>
        <w:t>8.2. Oxygen: no separate program required</w:t>
      </w:r>
    </w:p>
    <w:p>
      <w:pPr>
        <w:pageBreakBefore w:val="0"/>
        <w:spacing w:after="80" w:line="269" w:lineRule="auto"/>
        <w:ind w:firstLine="397"/>
        <w:jc w:val="both"/>
      </w:pPr>
      <w:r>
        <w:rPr>
          <w:rFonts w:ascii="Times New Roman" w:hAnsi="Times New Roman" w:eastAsia="Times New Roman"/>
          <w:b w:val="0"/>
          <w:i w:val="0"/>
          <w:color w:val="20252B"/>
          <w:sz w:val="20"/>
        </w:rPr>
        <w:t>Oxygen is the most common element in the rocky bodies of the Solar System. To obtain a calculated oxygen quota of about 1.69 billion tons, it is enough to process about 3.94 billion tons of silicate regolith.</w:t>
      </w:r>
    </w:p>
    <w:p>
      <w:pPr>
        <w:pageBreakBefore w:val="0"/>
        <w:spacing w:after="80" w:line="269" w:lineRule="auto"/>
        <w:ind w:firstLine="397"/>
        <w:jc w:val="both"/>
      </w:pPr>
      <w:r>
        <w:rPr>
          <w:rFonts w:ascii="Times New Roman" w:hAnsi="Times New Roman" w:eastAsia="Times New Roman"/>
          <w:b w:val="0"/>
          <w:i w:val="0"/>
          <w:color w:val="20252B"/>
          <w:sz w:val="20"/>
        </w:rPr>
        <w:t>The project involves processing 4.65 billion tons of regolith and borosilicate for radiation protection and 8.13 billion tons of soil. Oxygen is extracted along the way from already mined silicate raw materials; the individual industrial installation remains a qualification task.</w:t>
      </w:r>
    </w:p>
    <w:p>
      <w:pPr>
        <w:pageBreakBefore w:val="0"/>
        <w:spacing w:after="80" w:line="269" w:lineRule="auto"/>
        <w:ind w:firstLine="397"/>
        <w:jc w:val="both"/>
      </w:pPr>
      <w:r>
        <w:rPr>
          <w:rFonts w:ascii="Times New Roman" w:hAnsi="Times New Roman" w:eastAsia="Times New Roman"/>
          <w:b w:val="0"/>
          <w:i w:val="0"/>
          <w:color w:val="20252B"/>
          <w:sz w:val="20"/>
        </w:rPr>
        <w:t>The energy estimate for oxygen extraction is about 2.5·10¹⁰ MWh for 1.69 billion tons; The production schedule and energy of the external mining complex require separate design.</w:t>
      </w:r>
    </w:p>
    <w:p>
      <w:pPr>
        <w:pStyle w:val="Heading2"/>
        <w:keepNext/>
        <w:pageBreakBefore w:val="0"/>
        <w:spacing w:after="40"/>
        <w:jc w:val="left"/>
      </w:pPr>
      <w:r>
        <w:rPr>
          <w:rFonts w:ascii="Times New Roman" w:hAnsi="Times New Roman" w:eastAsia="Times New Roman"/>
          <w:b w:val="0"/>
          <w:i w:val="0"/>
          <w:color w:val="20252B"/>
          <w:sz w:val="20"/>
        </w:rPr>
        <w:t>8.3. Water: achievable</w:t>
      </w:r>
    </w:p>
    <w:p>
      <w:pPr>
        <w:pageBreakBefore w:val="0"/>
        <w:spacing w:after="80" w:line="269" w:lineRule="auto"/>
        <w:ind w:firstLine="397"/>
        <w:jc w:val="both"/>
      </w:pPr>
      <w:r>
        <w:rPr>
          <w:rFonts w:ascii="Times New Roman" w:hAnsi="Times New Roman" w:eastAsia="Times New Roman"/>
          <w:b w:val="0"/>
          <w:i w:val="0"/>
          <w:color w:val="20252B"/>
          <w:sz w:val="20"/>
        </w:rPr>
        <w:t>To obtain 1.17 billion tons of water, it is necessary to process about 5.85 billion tons of CI chondrites with a water content of 20% or about 9.75 billion tons of CM chondrites with a water content of 12%. The program is achievable on the same mining infrastructure.</w:t>
      </w:r>
    </w:p>
    <w:p>
      <w:pPr>
        <w:pageBreakBefore w:val="0"/>
        <w:spacing w:after="80" w:line="269" w:lineRule="auto"/>
        <w:ind w:firstLine="397"/>
        <w:jc w:val="both"/>
      </w:pPr>
      <w:r>
        <w:rPr>
          <w:rFonts w:ascii="Times New Roman" w:hAnsi="Times New Roman" w:eastAsia="Times New Roman"/>
          <w:b w:val="0"/>
          <w:i w:val="0"/>
          <w:color w:val="20252B"/>
          <w:sz w:val="20"/>
        </w:rPr>
        <w:t>Water can serve as a source of oxygen through electrolysis, but it is not practical to use it for this purpose: oxygen is extracted from the regolith, and water in a closed system has an independent resource value.</w:t>
      </w:r>
    </w:p>
    <w:p>
      <w:pPr>
        <w:pStyle w:val="Heading2"/>
        <w:keepNext/>
        <w:pageBreakBefore w:val="0"/>
        <w:spacing w:after="40"/>
        <w:jc w:val="left"/>
      </w:pPr>
      <w:r>
        <w:rPr>
          <w:rFonts w:ascii="Times New Roman" w:hAnsi="Times New Roman" w:eastAsia="Times New Roman"/>
          <w:b w:val="0"/>
          <w:i w:val="0"/>
          <w:color w:val="20252B"/>
          <w:sz w:val="20"/>
        </w:rPr>
        <w:t>8.4. Nitrogen: program defining position</w:t>
      </w:r>
    </w:p>
    <w:p>
      <w:pPr>
        <w:pageBreakBefore w:val="0"/>
        <w:spacing w:after="80" w:line="269" w:lineRule="auto"/>
        <w:ind w:firstLine="397"/>
        <w:jc w:val="both"/>
      </w:pPr>
      <w:r>
        <w:rPr>
          <w:rFonts w:ascii="Times New Roman" w:hAnsi="Times New Roman" w:eastAsia="Times New Roman"/>
          <w:b w:val="0"/>
          <w:i w:val="0"/>
          <w:color w:val="20252B"/>
          <w:sz w:val="20"/>
        </w:rPr>
        <w:t>Nitrogen is the most complex part of the atmospheric program. With the accepted estimate of 5.51 billion tons of nitrogen, the processing of carbonaceous chondrites with a content of 0.15% would require about 3,674 billion tons of raw materials; this path is unacceptable.</w:t>
      </w:r>
    </w:p>
    <w:p>
      <w:pPr>
        <w:pageBreakBefore w:val="0"/>
        <w:spacing w:after="80" w:line="269" w:lineRule="auto"/>
        <w:ind w:firstLine="397"/>
        <w:jc w:val="both"/>
      </w:pPr>
      <w:r>
        <w:rPr>
          <w:rFonts w:ascii="Times New Roman" w:hAnsi="Times New Roman" w:eastAsia="Times New Roman"/>
          <w:b w:val="0"/>
          <w:i w:val="0"/>
          <w:color w:val="20252B"/>
          <w:sz w:val="20"/>
        </w:rPr>
        <w:t>Comet ices contain nitrogenous compounds at approximately 1% of the mass of the nucleus. For a requirement of 5.51 billion tons, about 551 billion tons of cometary raw materials are required; This option is technically possible, but requires a separate transport program.</w:t>
      </w:r>
    </w:p>
    <w:p>
      <w:pPr>
        <w:pageBreakBefore w:val="0"/>
        <w:spacing w:after="80" w:line="269" w:lineRule="auto"/>
        <w:ind w:firstLine="397"/>
        <w:jc w:val="both"/>
      </w:pPr>
      <w:r>
        <w:rPr>
          <w:rFonts w:ascii="Times New Roman" w:hAnsi="Times New Roman" w:eastAsia="Times New Roman"/>
          <w:b w:val="0"/>
          <w:i w:val="0"/>
          <w:color w:val="20252B"/>
          <w:sz w:val="20"/>
        </w:rPr>
        <w:t>Titan's atmosphere contains available nitrogen, but the distance and energy of transportation make this source a backup option.</w:t>
      </w:r>
    </w:p>
    <w:p>
      <w:pPr>
        <w:pageBreakBefore w:val="0"/>
        <w:spacing w:after="80" w:line="269" w:lineRule="auto"/>
        <w:ind w:firstLine="397"/>
        <w:jc w:val="both"/>
      </w:pPr>
      <w:r>
        <w:rPr>
          <w:rFonts w:ascii="Times New Roman" w:hAnsi="Times New Roman" w:eastAsia="Times New Roman"/>
          <w:b w:val="0"/>
          <w:i w:val="0"/>
          <w:color w:val="20252B"/>
          <w:sz w:val="20"/>
        </w:rPr>
        <w:t>During the construction of the station over 50 years, the cargo flow for nitrogen would be about 110 million tons per year, and for steel - about 403 million tons per year. The transport program must take into account the source, flight windows and supply reserves.</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698912"/>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69891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21 - volatile production program: required volumes of raw materials by source</w:t>
      </w:r>
    </w:p>
    <w:p>
      <w:pPr>
        <w:pStyle w:val="Heading2"/>
        <w:keepNext/>
        <w:pageBreakBefore w:val="0"/>
        <w:spacing w:after="40"/>
        <w:jc w:val="left"/>
      </w:pPr>
      <w:r>
        <w:rPr>
          <w:rFonts w:ascii="Times New Roman" w:hAnsi="Times New Roman" w:eastAsia="Times New Roman"/>
          <w:b w:val="0"/>
          <w:i w:val="0"/>
          <w:color w:val="20252B"/>
          <w:sz w:val="20"/>
        </w:rPr>
        <w:t>8.5. Nitrogen Demand Reduction Option</w:t>
      </w:r>
    </w:p>
    <w:p>
      <w:pPr>
        <w:pageBreakBefore w:val="0"/>
        <w:spacing w:after="80" w:line="269" w:lineRule="auto"/>
        <w:ind w:firstLine="397"/>
        <w:jc w:val="both"/>
      </w:pPr>
      <w:r>
        <w:rPr>
          <w:rFonts w:ascii="Times New Roman" w:hAnsi="Times New Roman" w:eastAsia="Times New Roman"/>
          <w:b w:val="0"/>
          <w:i w:val="0"/>
          <w:color w:val="20252B"/>
          <w:sz w:val="20"/>
        </w:rPr>
        <w:t>An additional option is to reduce the mass of buffer gas, and not just increase production. The terrestrial composition of the atmosphere is accepted as the basic one, but is not the only physiologically possible regime.</w:t>
      </w:r>
    </w:p>
    <w:p>
      <w:pPr>
        <w:pageBreakBefore w:val="0"/>
        <w:spacing w:after="80" w:line="269" w:lineRule="auto"/>
        <w:ind w:firstLine="397"/>
        <w:jc w:val="both"/>
      </w:pPr>
      <w:r>
        <w:rPr>
          <w:rFonts w:ascii="Times New Roman" w:hAnsi="Times New Roman" w:eastAsia="Times New Roman"/>
          <w:b w:val="0"/>
          <w:i w:val="0"/>
          <w:color w:val="20252B"/>
          <w:sz w:val="20"/>
        </w:rPr>
        <w:t>When the total pressure is reduced to 70 kPa and the oxygen fraction is 30%, the partial pressure of oxygen is maintained, and the mass of the atmosphere is approximately reduced to 5.26 billion tons; the need for nitrogen is up to 3.53 billion tons. The solution requires a separate assessment of fire safety.</w:t>
      </w:r>
    </w:p>
    <w:p>
      <w:pPr>
        <w:pageBreakBefore w:val="0"/>
        <w:spacing w:after="80" w:line="269" w:lineRule="auto"/>
        <w:ind w:firstLine="397"/>
        <w:jc w:val="both"/>
      </w:pPr>
      <w:r>
        <w:rPr>
          <w:rFonts w:ascii="Times New Roman" w:hAnsi="Times New Roman" w:eastAsia="Times New Roman"/>
          <w:b w:val="0"/>
          <w:i w:val="0"/>
          <w:color w:val="20252B"/>
          <w:sz w:val="20"/>
        </w:rPr>
        <w:t>Replacing nitrogen with helium would reduce the mass of the atmosphere to 2.18 billion tons, but helium in a closed system is uncontrollable: it seeps through any leak and has no source of replenishment. Argon, on the contrary, is accessible and inert, but is heavier than nitrogen, and the mass of the atmosphere would increase.</w:t>
      </w:r>
    </w:p>
    <w:p>
      <w:pPr>
        <w:pageBreakBefore w:val="0"/>
        <w:spacing w:after="80" w:line="269" w:lineRule="auto"/>
        <w:ind w:firstLine="397"/>
        <w:jc w:val="both"/>
      </w:pPr>
      <w:r>
        <w:rPr>
          <w:rFonts w:ascii="Times New Roman" w:hAnsi="Times New Roman" w:eastAsia="Times New Roman"/>
          <w:b w:val="0"/>
          <w:i w:val="0"/>
          <w:color w:val="20252B"/>
          <w:sz w:val="20"/>
        </w:rPr>
        <w:t>It is impossible to completely eliminate nitrogen, and the reason is not in respiration, but in biology. Nitrogen is part of proteins and amino acids, and soil nitrogen fixation (section 6.2) requires its presence in the atmosphere. However, the amount required by the biosphere is incomparably less than the atmospheric reserve: with a content of 0.2% in fertile soil, the entire soil nitrogen is 0.016 billion tons, that is, 339 times less than 5.51 billion tons dissolved in the air. Atmospheric nitrogen is needed not as a substance, but as a pressure.</w:t>
      </w:r>
    </w:p>
    <w:p>
      <w:pPr>
        <w:pageBreakBefore w:val="0"/>
        <w:spacing w:after="80" w:line="269" w:lineRule="auto"/>
        <w:ind w:firstLine="397"/>
        <w:jc w:val="both"/>
      </w:pPr>
      <w:r>
        <w:rPr>
          <w:rFonts w:ascii="Times New Roman" w:hAnsi="Times New Roman" w:eastAsia="Times New Roman"/>
          <w:b w:val="0"/>
          <w:i w:val="0"/>
          <w:color w:val="20252B"/>
          <w:sz w:val="20"/>
        </w:rPr>
        <w:t>The option of reduced pressure with an increased proportion of oxygen should be considered as an alternative mode. The final composition of the atmosphere requires a separate calculation of fire safety, physiology and closed-loop dynamics.</w:t>
      </w:r>
    </w:p>
    <w:p>
      <w:pPr>
        <w:pStyle w:val="Heading2"/>
        <w:keepNext/>
        <w:pageBreakBefore w:val="0"/>
        <w:spacing w:after="40"/>
        <w:jc w:val="left"/>
      </w:pPr>
      <w:r>
        <w:rPr>
          <w:rFonts w:ascii="Times New Roman" w:hAnsi="Times New Roman" w:eastAsia="Times New Roman"/>
          <w:b w:val="0"/>
          <w:i w:val="0"/>
          <w:color w:val="20252B"/>
          <w:sz w:val="20"/>
        </w:rPr>
        <w:t>8.6. Clarification of the share of household electricity consumption</w:t>
      </w:r>
    </w:p>
    <w:p>
      <w:pPr>
        <w:pStyle w:val="Heading2"/>
        <w:keepNext/>
        <w:pageBreakBefore w:val="0"/>
        <w:spacing w:after="40"/>
        <w:jc w:val="left"/>
      </w:pPr>
      <w:r>
        <w:rPr>
          <w:rFonts w:ascii="Times New Roman" w:hAnsi="Times New Roman" w:eastAsia="Times New Roman"/>
          <w:b w:val="0"/>
          <w:i w:val="0"/>
          <w:color w:val="20252B"/>
          <w:sz w:val="20"/>
        </w:rPr>
        <w:t>8.7. Placement of resource bodies in the Solar System</w:t>
      </w:r>
    </w:p>
    <w:p>
      <w:pPr>
        <w:pageBreakBefore w:val="0"/>
        <w:spacing w:after="80" w:line="269" w:lineRule="auto"/>
        <w:ind w:firstLine="397"/>
        <w:jc w:val="both"/>
      </w:pPr>
      <w:r>
        <w:rPr>
          <w:rFonts w:ascii="Times New Roman" w:hAnsi="Times New Roman" w:eastAsia="Times New Roman"/>
          <w:b w:val="0"/>
          <w:i w:val="0"/>
          <w:color w:val="20252B"/>
          <w:sz w:val="20"/>
        </w:rPr>
        <w:t>The production program has a geography, and it determines the transport distance. Below are the specific bodies suitable for each position, with their orbital elements according to the JPL small body database.</w:t>
      </w:r>
    </w:p>
    <w:p>
      <w:pPr>
        <w:pageBreakBefore w:val="0"/>
        <w:spacing w:after="80" w:line="269" w:lineRule="auto"/>
        <w:ind w:firstLine="397"/>
        <w:jc w:val="both"/>
      </w:pPr>
      <w:r>
        <w:rPr>
          <w:rFonts w:ascii="Times New Roman" w:hAnsi="Times New Roman" w:eastAsia="Times New Roman"/>
          <w:b w:val="0"/>
          <w:i w:val="0"/>
          <w:color w:val="20252B"/>
          <w:sz w:val="20"/>
        </w:rPr>
        <w:t>Metal. Asteroid (6178) 1986 DA, M-type, with a diameter of about 3 km, is accepted in paragraph 4.12 as the main source of steel and nickel: the project requires 94% of its metal. Major axle 2.82 a. e., eccentricity 0.582, inclination 4.3°, orbital period 4.7 years. The orbit is highly elongated: perihelion 1.18 AU. e. passes near the earth's orbit, aphelion 4.46 a. e. leads to Jupiter. This circumstance is favorable - once every 4.7 years the body comes close to the station, and the windows for transportation are opened regularly.</w:t>
      </w:r>
    </w:p>
    <w:p>
      <w:pPr>
        <w:pageBreakBefore w:val="0"/>
        <w:spacing w:after="80" w:line="269" w:lineRule="auto"/>
        <w:ind w:firstLine="397"/>
        <w:jc w:val="both"/>
      </w:pPr>
      <w:r>
        <w:rPr>
          <w:rFonts w:ascii="Times New Roman" w:hAnsi="Times New Roman" w:eastAsia="Times New Roman"/>
          <w:b w:val="0"/>
          <w:i w:val="0"/>
          <w:color w:val="20252B"/>
          <w:sz w:val="20"/>
        </w:rPr>
        <w:t>Water. Dwarf planet (1) Ceres, C-type, semi-major axis 2.77 AU. e., eccentricity 0.079, inclination 10.6°, period 4.6 years. Contains water ice in its crust and is the closest major source of water. Asteroid (24) Themis, a = 3.15 a. e., e = 0.117, i = 0.7°, carries frost of water ice directly on the surface; The inclination of less than a degree makes it particularly accessible. The Themis family contains thousands of bodies of similar composition, which eliminates the question of reserves.</w:t>
      </w:r>
    </w:p>
    <w:p>
      <w:pPr>
        <w:pageBreakBefore w:val="0"/>
        <w:spacing w:after="80" w:line="269" w:lineRule="auto"/>
        <w:ind w:firstLine="397"/>
        <w:jc w:val="both"/>
      </w:pPr>
      <w:r>
        <w:rPr>
          <w:rFonts w:ascii="Times New Roman" w:hAnsi="Times New Roman" w:eastAsia="Times New Roman"/>
          <w:b w:val="0"/>
          <w:i w:val="0"/>
          <w:color w:val="20252B"/>
          <w:sz w:val="20"/>
        </w:rPr>
        <w:t>Nitrogen. Asteroid (10) Hygiea, the largest C-class body in the outer belt, a = 3.14 AU. e., e = 0.113, i = 3.8°, contains ammonium silicates - fixed nitrogen. Comet 67P/Churyumov - Gerasimenko, a = 3.46 a. e., e = 0.641, i = 7.0°, carries ammonia and molecular nitrogen in the ice in an amount of about a percent of the core mass. As shown in paragraph 8.4, the cometary path requires 551 billion tons of raw materials, that is, fifty-five bodies of this class.</w:t>
      </w:r>
    </w:p>
    <w:p>
      <w:pPr>
        <w:pageBreakBefore w:val="0"/>
        <w:spacing w:after="80" w:line="269" w:lineRule="auto"/>
        <w:ind w:firstLine="397"/>
        <w:jc w:val="both"/>
      </w:pPr>
      <w:r>
        <w:rPr>
          <w:rFonts w:ascii="Times New Roman" w:hAnsi="Times New Roman" w:eastAsia="Times New Roman"/>
          <w:b w:val="0"/>
          <w:i w:val="0"/>
          <w:color w:val="20252B"/>
          <w:sz w:val="20"/>
        </w:rPr>
        <w:t>The map of program resource bodies is taken out from this document as a separate sheet of A3 format, landscape orientation (420 × 297 mm), “Program resource base” (files resource_map.png and resource_map.pdf). It shows the orbits of Earth, Mars and Jupiter, the main asteroid belt, the Trojans, the position of the station at point L1 and five resource orbits with perihelion and aphelion points. The current positions of the bodies are not displayed on the diagram. The diameters of the five bodies are included in the right legend, along with their resource role and orbital parameters. The layout is designed to be printed on one readable A3 sheet: the map occupies the left side, and the source legend and material balance occupy the right.</w:t>
      </w:r>
    </w:p>
    <w:p>
      <w:pPr>
        <w:pageBreakBefore w:val="0"/>
        <w:spacing w:after="80" w:line="269" w:lineRule="auto"/>
        <w:ind w:firstLine="397"/>
        <w:jc w:val="both"/>
      </w:pPr>
      <w:r>
        <w:rPr>
          <w:rFonts w:ascii="Times New Roman" w:hAnsi="Times New Roman" w:eastAsia="Times New Roman"/>
          <w:b w:val="0"/>
          <w:i w:val="0"/>
          <w:color w:val="20252B"/>
          <w:sz w:val="20"/>
        </w:rPr>
        <w:t>The general conclusion regarding the geography of the program: all of the listed bodies, except cometary ones, are concentrated in the asteroid belt at distances from 2.8 to 3.2 AU. e. The station is located at point L1 of the Sun-Earth system, that is, near 1 a. e. The transport distance is therefore about two astronomical units for the bulk of the cargo. The elongated orbit of asteroid (6178) 1986 DA reduces this shoulder for metal - the main position by mass - at the moments of perihelion passage.</w:t>
      </w:r>
    </w:p>
    <w:p>
      <w:pPr>
        <w:pageBreakBefore w:val="0"/>
        <w:spacing w:after="80" w:line="269" w:lineRule="auto"/>
        <w:ind w:firstLine="397"/>
        <w:jc w:val="both"/>
      </w:pPr>
      <w:r>
        <w:rPr>
          <w:rFonts w:ascii="Times New Roman" w:hAnsi="Times New Roman" w:eastAsia="Times New Roman"/>
          <w:b w:val="0"/>
          <w:i w:val="0"/>
          <w:color w:val="20252B"/>
          <w:sz w:val="20"/>
        </w:rPr>
        <w:t>In Table 4.15 and Figure 16, the item “household, transport, industry” is 6 GW, which, when rounded to whole percentages, gives 0.83% of the total capacity of 721.4 GW. Other shares are respectively 69.73% for axial light-thermal beams, 13.31% for heat pumps, 8.79% for retention, 4.57% for reserve and losses and 2.77% for life support.</w:t>
      </w:r>
    </w:p>
    <w:p>
      <w:pPr>
        <w:pageBreakBefore w:val="0"/>
        <w:spacing w:after="80" w:line="269" w:lineRule="auto"/>
        <w:ind w:firstLine="397"/>
        <w:jc w:val="both"/>
      </w:pPr>
      <w:r>
        <w:rPr>
          <w:rFonts w:ascii="Times New Roman" w:hAnsi="Times New Roman" w:eastAsia="Times New Roman"/>
          <w:b w:val="0"/>
          <w:i w:val="0"/>
          <w:color w:val="20252B"/>
          <w:sz w:val="20"/>
        </w:rPr>
        <w:t>For one inhabitant, 6 GW with a million population provides 6,000 W of continuous power, that is, 144 kWh per day. This is six times more than average household consumption in Russia and four times more than in the United States. The value, therefore, is not underestimated, but, on the contrary, is provided with a large margin; It looks small only against the backdrop of lighting, which is the main expense item for the station.</w:t>
      </w:r>
    </w:p>
    <w:p>
      <w:pPr>
        <w:pageBreakBefore w:val="0"/>
        <w:spacing w:after="80" w:line="269" w:lineRule="auto"/>
        <w:ind w:firstLine="397"/>
        <w:jc w:val="both"/>
      </w:pPr>
      <w:r>
        <w:rPr>
          <w:rFonts w:ascii="Times New Roman" w:hAnsi="Times New Roman" w:eastAsia="Times New Roman"/>
          <w:b w:val="0"/>
          <w:i w:val="0"/>
          <w:color w:val="20252B"/>
          <w:sz w:val="20"/>
        </w:rPr>
        <w:t>The breakdown of 6 GW by purpose is assumed to be as follows: housing - lighting, household appliances, cooking - 2.40 GW; industry and workshops - 1.70 GW; internal transport with recovery - 1.10 GW; communications, computing and control - 0.50 GW; street lighting and public buildings - 0.30 GW.</w:t>
      </w:r>
    </w:p>
    <w:p/>
    <w:p>
      <w:pPr>
        <w:spacing w:before="200"/>
        <w:jc w:val="center"/>
      </w:pPr>
      <w:r>
        <w:rPr>
          <w:b/>
          <w:color w:val="2E5496"/>
          <w:sz w:val="17"/>
        </w:rPr>
        <w:t>СПИСОК ЛИТЕРАТУРЫ РАЗДЕЛА / REFERENCES OF THIS SECTION</w:t>
      </w:r>
    </w:p>
    <w:p>
      <w:pPr>
        <w:ind w:left="340" w:hanging="340"/>
      </w:pPr>
      <w:r>
        <w:rPr>
          <w:sz w:val="18"/>
        </w:rPr>
        <w:t>1. Space Resources and Space Settlements. NASA SP-428. Washington: NASA, 1979. [Материалы летнего исследования 1977 г.]</w:t>
      </w:r>
    </w:p>
    <w:p>
      <w:pPr>
        <w:ind w:left="340" w:hanging="340"/>
      </w:pPr>
      <w:r>
        <w:rPr>
          <w:sz w:val="18"/>
        </w:rPr>
        <w:t>1. Space Resources and Space Settlements. NASA SP-428. Washington: NASA, 1979. [Proceedings of the 1977 summer study.]</w:t>
      </w:r>
    </w:p>
    <w:p>
      <w:pPr>
        <w:ind w:left="340" w:hanging="340"/>
      </w:pPr>
      <w:r>
        <w:rPr>
          <w:sz w:val="18"/>
        </w:rPr>
        <w:t>2. Астероид (6178) 1986 DA: тип M, поперечник около 3 км, большая полуось 2,8216 а. е., эксцентриситет 0,5818, наклонение 4,31°, период 4,7 года. [Данные каталога малых тел; использованы в разделе 30.]</w:t>
      </w:r>
    </w:p>
    <w:p>
      <w:pPr>
        <w:ind w:left="340" w:hanging="340"/>
      </w:pPr>
      <w:r>
        <w:rPr>
          <w:sz w:val="18"/>
        </w:rPr>
        <w:t>2. Asteroid (6178) 1986 DA: type M, diameter about 3 km, semi-major axis 2.8216 AU, eccentricity 0.5818, inclination 4.31°, period 4.7 yr. [Minor-body catalogue data; used in section 30.]</w:t>
      </w:r>
    </w:p>
    <w:p>
      <w:r>
        <w:rPr>
          <w:b/>
          <w:sz w:val="18"/>
        </w:rPr>
        <w:t>Кроме того, раздел опирается на собственные допущения публикации:</w:t>
      </w:r>
    </w:p>
    <w:p>
      <w:pPr>
        <w:ind w:left="340" w:hanging="340"/>
      </w:pPr>
      <w:r>
        <w:rPr>
          <w:sz w:val="18"/>
        </w:rPr>
        <w:t>· Данные о ресурсных телах: астероид (6178) 1986 DA, тип M, поперечник около 3 км.</w:t>
      </w:r>
    </w:p>
    <w:p>
      <w:pPr>
        <w:ind w:left="340" w:hanging="340"/>
      </w:pPr>
      <w:r>
        <w:rPr>
          <w:sz w:val="18"/>
        </w:rPr>
        <w:t>· Resource-body data: asteroid (6178) 1986 DA, type M, diameter about 3 km.</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