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11 / Section 11</w:t>
      </w:r>
    </w:p>
    <w:p>
      <w:pPr>
        <w:jc w:val="center"/>
      </w:pPr>
      <w:r>
        <w:rPr>
          <w:b/>
          <w:color w:val="1F3864"/>
          <w:sz w:val="26"/>
        </w:rPr>
        <w:t>11. ДОПОЛНИТЕЛЬНЫЕ ИНЖЕНЕРНЫЕ ВОПРОСЫ</w:t>
      </w:r>
    </w:p>
    <w:p>
      <w:pPr>
        <w:jc w:val="center"/>
      </w:pPr>
      <w:r>
        <w:rPr>
          <w:b/>
          <w:color w:val="1F3864"/>
          <w:sz w:val="26"/>
        </w:rPr>
        <w:t>11. ADDITIONAL ENGINEERING ISSUES</w:t>
      </w:r>
    </w:p>
    <w:p>
      <w:pPr>
        <w:jc w:val="center"/>
      </w:pPr>
      <w:r>
        <w:rPr>
          <w:i/>
          <w:sz w:val="17"/>
        </w:rPr>
        <w:t>Редакция 8 · 31 октября 2026 г.  ·  документ 13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11. ДОПОЛНИТЕЛЬНЫЕ ИНЖЕНЕРНЫЕ ВОПРОСЫ</w:t>
      </w:r>
    </w:p>
    <w:p>
      <w:pPr>
        <w:pageBreakBefore w:val="0"/>
        <w:spacing w:after="80" w:line="269" w:lineRule="auto"/>
        <w:ind w:firstLine="397"/>
        <w:jc w:val="both"/>
      </w:pPr>
      <w:r>
        <w:rPr>
          <w:rFonts w:ascii="Times New Roman" w:hAnsi="Times New Roman" w:eastAsia="Times New Roman"/>
          <w:b w:val="0"/>
          <w:i w:val="0"/>
          <w:color w:val="20252B"/>
          <w:sz w:val="20"/>
        </w:rPr>
        <w:t>Глава объединяет дополнительные инженерные и эксплуатационные вопросы, необходимые для перехода от концептуальной модели к демонстраторам и предварительному проектированию. Ось станции остаётся неподвижной в инерциальном пространстве, освещение — реакторным, а удержание в L1 обеспечивается установкой мощностью 63,4 ГВт.</w:t>
      </w:r>
    </w:p>
    <w:p>
      <w:pPr>
        <w:pStyle w:val="Heading2"/>
        <w:keepNext/>
        <w:pageBreakBefore w:val="0"/>
        <w:spacing w:after="40"/>
        <w:jc w:val="left"/>
      </w:pPr>
      <w:r>
        <w:rPr>
          <w:rFonts w:ascii="Times New Roman" w:hAnsi="Times New Roman" w:eastAsia="Times New Roman"/>
          <w:b/>
          <w:i w:val="0"/>
          <w:color w:val="2F5D83"/>
          <w:sz w:val="25"/>
        </w:rPr>
        <w:t>11.1. Микрометеориты и космический мусор</w:t>
      </w:r>
    </w:p>
    <w:p>
      <w:pPr>
        <w:pageBreakBefore w:val="0"/>
        <w:spacing w:after="80" w:line="269" w:lineRule="auto"/>
        <w:ind w:firstLine="397"/>
        <w:jc w:val="both"/>
      </w:pPr>
      <w:r>
        <w:rPr>
          <w:rFonts w:ascii="Times New Roman" w:hAnsi="Times New Roman" w:eastAsia="Times New Roman"/>
          <w:b w:val="0"/>
          <w:i w:val="0"/>
          <w:color w:val="20252B"/>
          <w:sz w:val="20"/>
        </w:rPr>
        <w:t>Спорадический метеорный фон на расстоянии одной астрономической единицы описывается распределением Грюна. Для полной площади двух цилиндров 3 100,2 км² поток частиц массой более одного микрограмма составляет около 106,8 соударения в год, массой более грамма — около 0,97 в год, массой более килограмма — 0,093 в год, то есть одно событие примерно раз в 10,7 года.</w:t>
      </w:r>
    </w:p>
    <w:p>
      <w:pPr>
        <w:pageBreakBefore w:val="0"/>
        <w:spacing w:after="80" w:line="269" w:lineRule="auto"/>
        <w:ind w:firstLine="397"/>
        <w:jc w:val="both"/>
      </w:pPr>
      <w:r>
        <w:rPr>
          <w:rFonts w:ascii="Times New Roman" w:hAnsi="Times New Roman" w:eastAsia="Times New Roman"/>
          <w:b w:val="0"/>
          <w:i w:val="0"/>
          <w:color w:val="20252B"/>
          <w:sz w:val="20"/>
        </w:rPr>
        <w:t>Пробойная способность оценивается по глубине кратера, которая при скорости соударения около 20 км/с составляет от двух до пяти калибров частицы. Противометеороидная защита является обязательной частью наружного пакета и не выступает за гладкую внешнюю поверхность: внешняя ударная обшивка, внутренний вакуумный зазор, несколько жертвенных экранов и волокнисто-керамический уловитель дробят частицу до того, как облако обломков достигает гермооболочки и силового пояса. Радиационная защита из реголита и боросиликатного стекла работает как дополнительный слой, но не считается единственным экраном Уиппла. Расчёт B-L пределов для частиц от микрограммового до метрового диапазона, локальная сигнализация пробоя и роботизированная герметизация секций должны быть выполнены отдельным проектом. Все экраны находятся под гладкой наружной обшивкой и не образуют наружных колец или рёбер.</w:t>
      </w:r>
    </w:p>
    <w:p>
      <w:pPr>
        <w:pageBreakBefore w:val="0"/>
        <w:spacing w:after="80" w:line="269" w:lineRule="auto"/>
        <w:ind w:firstLine="397"/>
        <w:jc w:val="both"/>
      </w:pPr>
      <w:r>
        <w:rPr>
          <w:rFonts w:ascii="Times New Roman" w:hAnsi="Times New Roman" w:eastAsia="Times New Roman"/>
          <w:b w:val="0"/>
          <w:i w:val="0"/>
          <w:color w:val="20252B"/>
          <w:sz w:val="20"/>
        </w:rPr>
        <w:t>Космический мусор искусственного происхождения относится к околоземным орбитам ниже геостационарной. Точка L1 удалена от Земли на 1,5 млн км, то есть вчетверо дальше Луны, и техногенного мусора там нет. Для принятого места размещения этот фактор не действует. Опасность представляют естественные тела метрового класса, вероятность встречи с которыми за столетие оценивается величиной порядка 10⁻⁴ и парируется наблюдением и уклонением, а не защитой.</w:t>
      </w:r>
    </w:p>
    <w:p>
      <w:pPr>
        <w:pStyle w:val="Heading2"/>
        <w:keepNext/>
        <w:pageBreakBefore w:val="0"/>
        <w:spacing w:after="40"/>
        <w:jc w:val="left"/>
      </w:pPr>
      <w:r>
        <w:rPr>
          <w:rFonts w:ascii="Times New Roman" w:hAnsi="Times New Roman" w:eastAsia="Times New Roman"/>
          <w:b/>
          <w:i w:val="0"/>
          <w:color w:val="2F5D83"/>
          <w:sz w:val="25"/>
        </w:rPr>
        <w:t>11.2. Отходы и замыкание массового баланса</w:t>
      </w:r>
    </w:p>
    <w:p>
      <w:pPr>
        <w:pageBreakBefore w:val="0"/>
        <w:spacing w:after="80" w:line="269" w:lineRule="auto"/>
        <w:ind w:firstLine="397"/>
        <w:jc w:val="both"/>
      </w:pPr>
      <w:r>
        <w:rPr>
          <w:rFonts w:ascii="Times New Roman" w:hAnsi="Times New Roman" w:eastAsia="Times New Roman"/>
          <w:b w:val="0"/>
          <w:i w:val="0"/>
          <w:color w:val="20252B"/>
          <w:sz w:val="20"/>
        </w:rPr>
        <w:t>Население в 1 000 000 человек при норме 1,5 кг твёрдых отходов на человека в сутки даёт 0,55 млн т в год, а при норме 200 литров воды — 73 млн м³ стоков в год. За столетие эксплуатации несомкнутый цикл дал бы накопление 55 млн т мусора — величина, сопоставимая с массой силового набора цилиндра (70,1 млн т). Складирование отходов на станции недопустимо; выброс в вакуум недопустим тем более, поскольку означает безвозвратную потерю вещества, доставленного с астероидов ценой основных затрат проекта.</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полное замыкание. Органическая доля отходов, около 60 % или 0,33 млн т в год, компостируется и возвращается в почву; этой величиной частично покрывается вынос питательных веществ с урожаем. Металл и стекло, около 25 % или 0,14 млн т в год, направляются на переплавку и возвращаются в производственный оборот. Остаток сжигается в кислороде с улавливанием диоксида углерода; зола массой 0,08 млн т в год вносится в почву как минеральное удобрение. Стоки проходят биологическую очистку и возвращаются в водооборот (п. 11.8).</w:t>
      </w:r>
    </w:p>
    <w:p>
      <w:pPr>
        <w:pStyle w:val="Heading2"/>
        <w:keepNext/>
        <w:pageBreakBefore w:val="0"/>
        <w:spacing w:after="40"/>
        <w:jc w:val="left"/>
      </w:pPr>
      <w:r>
        <w:rPr>
          <w:rFonts w:ascii="Times New Roman" w:hAnsi="Times New Roman"/>
        </w:rPr>
        <w:t>11.3. Умершие жители</w:t>
      </w:r>
    </w:p>
    <w:p>
      <w:pPr>
        <w:pageBreakBefore w:val="0"/>
        <w:spacing w:after="80" w:line="269" w:lineRule="auto"/>
        <w:ind w:firstLine="397"/>
        <w:jc w:val="both"/>
      </w:pPr>
      <w:r>
        <w:rPr>
          <w:rFonts w:ascii="Times New Roman" w:hAnsi="Times New Roman" w:eastAsia="Times New Roman"/>
          <w:b w:val="0"/>
          <w:i w:val="0"/>
          <w:color w:val="20252B"/>
          <w:sz w:val="20"/>
        </w:rPr>
        <w:t>Вопрос неизбежен для замкнутой системы и решается не обычаем, а массовым балансом. При земной смертности 8 человек на тысячу станция теряет 8 000 человек в год, то есть 560 тонн биомассы, содержащей около 101 тонны углерода. Для молодого населения первых десятилетий, формируемого отбором прибывающих, смертность составит порядка 5 на тысячу — 5 000 человек и 350 тонн в год.</w:t>
      </w:r>
    </w:p>
    <w:p>
      <w:pPr>
        <w:pageBreakBefore w:val="0"/>
        <w:spacing w:after="80" w:line="269" w:lineRule="auto"/>
        <w:ind w:firstLine="397"/>
        <w:jc w:val="both"/>
      </w:pPr>
      <w:r>
        <w:rPr>
          <w:rFonts w:ascii="Times New Roman" w:hAnsi="Times New Roman" w:eastAsia="Times New Roman"/>
          <w:b w:val="0"/>
          <w:i w:val="0"/>
          <w:color w:val="20252B"/>
          <w:sz w:val="20"/>
        </w:rPr>
        <w:t>Захоронение в грунте цилиндра исключается: слой почвы толщиной 1,5 метра является сельскохозяйственным ресурсом, а не кладбищем, и за столетие потребовалось бы отвести под погребение около 800 тысяч мест. Принимается кремация с возвратом углерода в атмосферу и минерального остатка в почву. Прах выдаётся родственникам либо помещается в колумбарий — сооружение, не расходующее ни площади почвы, ни вещества. Решение формулируется прямо: вещество человека остаётся в круговороте станции, память о нём — в колумбарии.</w:t>
      </w:r>
    </w:p>
    <w:p>
      <w:pPr>
        <w:pStyle w:val="Heading2"/>
        <w:keepNext/>
        <w:pageBreakBefore w:val="0"/>
        <w:spacing w:after="40"/>
        <w:jc w:val="left"/>
      </w:pPr>
      <w:r>
        <w:rPr>
          <w:rFonts w:ascii="Times New Roman" w:hAnsi="Times New Roman" w:eastAsia="Times New Roman"/>
          <w:b/>
          <w:i w:val="0"/>
          <w:color w:val="2F5D83"/>
          <w:sz w:val="25"/>
        </w:rPr>
        <w:t>11.4. Рождаемость и возрастная структура</w:t>
      </w:r>
    </w:p>
    <w:p>
      <w:pPr>
        <w:pageBreakBefore w:val="0"/>
        <w:spacing w:after="80" w:line="269" w:lineRule="auto"/>
        <w:ind w:firstLine="397"/>
        <w:jc w:val="both"/>
      </w:pPr>
      <w:r>
        <w:rPr>
          <w:rFonts w:ascii="Times New Roman" w:hAnsi="Times New Roman" w:eastAsia="Times New Roman"/>
          <w:b w:val="0"/>
          <w:i w:val="0"/>
          <w:color w:val="20252B"/>
          <w:sz w:val="20"/>
        </w:rPr>
        <w:t>Расчётная численность станции — 1 000 000 человек, по 500 000 на цилиндр. При коэффициенте рождаемости 2,1 население воспроизводится без роста; отклонения демографических параметров требуют отдельного моделирования и резерва продовольствия.</w:t>
      </w:r>
    </w:p>
    <w:p>
      <w:pPr>
        <w:pageBreakBefore w:val="0"/>
        <w:spacing w:after="80" w:line="269" w:lineRule="auto"/>
        <w:ind w:firstLine="397"/>
        <w:jc w:val="both"/>
      </w:pPr>
      <w:r>
        <w:rPr>
          <w:rFonts w:ascii="Times New Roman" w:hAnsi="Times New Roman" w:eastAsia="Times New Roman"/>
          <w:b w:val="0"/>
          <w:i w:val="0"/>
          <w:color w:val="20252B"/>
          <w:sz w:val="20"/>
        </w:rPr>
        <w:t>Отсюда проектное требование: станция рассчитывается не на население, а на диапазон населения. Принимается верхняя граница 1,2 млн человек, обеспеченная резервом продовольствия и кислорода, и нижняя граница 0,6 млн, ниже которой не обеспечивается обслуживание сооружения. Демографическое регулирование лежит вне инженерной компетенции настоящего документа и здесь только называется как обязательное условие долговременной эксплуатации.</w:t>
      </w:r>
    </w:p>
    <w:p>
      <w:pPr>
        <w:pStyle w:val="Heading2"/>
        <w:keepNext/>
        <w:pageBreakBefore w:val="0"/>
        <w:spacing w:after="40"/>
        <w:jc w:val="left"/>
      </w:pPr>
      <w:r>
        <w:rPr>
          <w:rFonts w:ascii="Times New Roman" w:hAnsi="Times New Roman" w:eastAsia="Times New Roman"/>
          <w:b/>
          <w:i w:val="0"/>
          <w:color w:val="2F5D83"/>
          <w:sz w:val="25"/>
        </w:rPr>
        <w:t>11.5. Удержание станции в точке L1</w:t>
      </w:r>
    </w:p>
    <w:p>
      <w:pPr>
        <w:pageBreakBefore w:val="0"/>
        <w:spacing w:after="80" w:line="269" w:lineRule="auto"/>
        <w:ind w:firstLine="397"/>
        <w:jc w:val="both"/>
      </w:pPr>
      <w:r>
        <w:rPr>
          <w:rFonts w:ascii="Times New Roman" w:hAnsi="Times New Roman" w:eastAsia="Times New Roman"/>
          <w:b w:val="0"/>
          <w:i w:val="0"/>
          <w:color w:val="20252B"/>
          <w:sz w:val="20"/>
        </w:rPr>
        <w:t>Место размещения — первая точка Лагранжа системы Земля — Солнце. Точка неустойчива, поэтому станция оснащается установкой удержания с расходом рабочего тела, рассчитанным в п. 11.5.</w:t>
      </w:r>
    </w:p>
    <w:p>
      <w:pPr>
        <w:pageBreakBefore w:val="0"/>
        <w:spacing w:after="80" w:line="269" w:lineRule="auto"/>
        <w:ind w:firstLine="397"/>
        <w:jc w:val="both"/>
      </w:pPr>
      <w:r>
        <w:rPr>
          <w:rFonts w:ascii="Times New Roman" w:hAnsi="Times New Roman" w:eastAsia="Times New Roman"/>
          <w:b w:val="0"/>
          <w:i w:val="0"/>
          <w:color w:val="20252B"/>
          <w:sz w:val="20"/>
        </w:rPr>
        <w:t>Потребное приращение скорости. Опыт удержания аппаратов на гало-орбитах вокруг L1 даёт от 2 до 4 м/с в год в зависимости от точности определения орбиты и частоты коррекций; для станции принимается 2 м/с в год при непрерывной работе установки, что соответствует оптимизированной гало-орбите. Годовой импульс составляет 9,34·10¹³ Н·с, потребная тяга при непрерывном приложении — 2 960 кН.</w:t>
      </w:r>
    </w:p>
    <w:p>
      <w:pPr>
        <w:pageBreakBefore w:val="0"/>
        <w:spacing w:after="80" w:line="269" w:lineRule="auto"/>
        <w:ind w:firstLine="397"/>
        <w:jc w:val="both"/>
      </w:pPr>
      <w:r>
        <w:rPr>
          <w:rFonts w:ascii="Times New Roman" w:hAnsi="Times New Roman" w:eastAsia="Times New Roman"/>
          <w:b w:val="0"/>
          <w:i w:val="0"/>
          <w:color w:val="20252B"/>
          <w:sz w:val="20"/>
        </w:rPr>
        <w:t>Выбор скорости истечения. Расход рабочего тела обратно пропорционален скорости истечения, а мощность струи растёт пропорционально её квадрату, поэтому решение лежит в оптимуме между складом и электростанцией. При 3 км/с расход достигает 31,1 млн т в год, при 100 км/с потребная мощность 148 ГВт поглощает 20,5 % станционной. Принята скорость истечения 30 км/с (удельный импульс 3 058 с): расход 3,11 млн т в год, мощность струи 44,4 ГВт, потребляемая мощность при коэффициенте полезного действия 70 % — 63,4 ГВт, то есть 8,79 % станционной мощности 721,4 ГВт. Энергозатрата составляет 450 МДж на килограмм выброшенного вещества.</w:t>
      </w:r>
    </w:p>
    <w:p>
      <w:pPr>
        <w:pageBreakBefore w:val="0"/>
        <w:spacing w:after="80" w:line="269" w:lineRule="auto"/>
        <w:ind w:firstLine="397"/>
        <w:jc w:val="both"/>
      </w:pPr>
      <w:r>
        <w:rPr>
          <w:rFonts w:ascii="Times New Roman" w:hAnsi="Times New Roman" w:eastAsia="Times New Roman"/>
          <w:b w:val="0"/>
          <w:i w:val="0"/>
          <w:color w:val="20252B"/>
          <w:sz w:val="20"/>
        </w:rPr>
        <w:t>Рабочее тело. Ксенон, применяемый в исследовательских аппаратах, исключён: мировое производство измеряется десятками тонн в год против потребных 8 524 тонн в сутки. Рабочим телом принят дроблёный реголит — вещество, уже доставляемое на станцию в количестве 4,65 млрд т для радиационной защиты (п. Б.16) и не требующее ни синтеза, ни очистки. Ускорение производится электромагнитным масс-драйвером, для которого реголит является штатным рабочим телом. Запаса радиационной защиты хватило бы на 1 494 года непрерывной работы, однако расходовать защиту не предполагается: реголит поставляется тем же грузопотоком, что и прочее сырьё. Отходы станции массой 0,548 млн т в год (п. 11.2) покрывают 17,6 % потребности и направляются в масс-драйвер после извлечения полезных фракций.</w:t>
      </w:r>
    </w:p>
    <w:p>
      <w:pPr>
        <w:pageBreakBefore w:val="0"/>
        <w:spacing w:after="80" w:line="269" w:lineRule="auto"/>
        <w:ind w:firstLine="397"/>
        <w:jc w:val="both"/>
      </w:pPr>
      <w:r>
        <w:rPr>
          <w:rFonts w:ascii="Times New Roman" w:hAnsi="Times New Roman" w:eastAsia="Times New Roman"/>
          <w:b w:val="0"/>
          <w:i w:val="0"/>
          <w:color w:val="20252B"/>
          <w:sz w:val="20"/>
        </w:rPr>
        <w:t>Итог за срок службы. За сто лет эксплуатации через установку проходит 311 млн т вещества — 0,67 % массы станции. Величина существенная, но не запретительная: она составляет треть годовой программы доставки сырья на этапе строительства. Установка удержания принимается как постоянно действующая система станции наравне с энергетической и вносится в баланс мощности отдельной строкой.</w:t>
      </w:r>
    </w:p>
    <w:p>
      <w:pPr>
        <w:pageBreakBefore w:val="0"/>
        <w:spacing w:after="80" w:line="269" w:lineRule="auto"/>
        <w:ind w:firstLine="397"/>
        <w:jc w:val="both"/>
      </w:pPr>
      <w:r>
        <w:rPr>
          <w:rFonts w:ascii="Times New Roman" w:hAnsi="Times New Roman" w:eastAsia="Times New Roman"/>
          <w:b w:val="0"/>
          <w:i w:val="0"/>
          <w:color w:val="20252B"/>
          <w:sz w:val="20"/>
        </w:rPr>
        <w:t>Влияние на энергобаланс станции. Установка удержания добавляет 63,4 ГВт к электрической нагрузке, доводя базовую нагрузку 658 ГВт до 721,4 ГВт. На тепловой баланс влияние существенно меньше: 44,4 ГВт уносятся струёй рабочего тела и покидают станцию физически, а из 63,4 ГВт потребления установки 19,0 ГВт превращаются в тепло внутри станции. Низкотемпературная нагрузка возрастает с 658 до 677 ГВт, потребная площадь радиатора — с 993 до 1 022 км², то есть на 2,9 %, при располагаемых 1 477 км² (запас 1,45). Реактивная установка оказывается единственным потребителем станции, большая часть энергии которого не превращается в тепло внутри сооружения.</w:t>
      </w:r>
    </w:p>
    <w:p>
      <w:pPr>
        <w:pageBreakBefore w:val="0"/>
        <w:spacing w:after="80" w:line="269" w:lineRule="auto"/>
        <w:ind w:firstLine="397"/>
        <w:jc w:val="both"/>
      </w:pPr>
      <w:r>
        <w:rPr>
          <w:rFonts w:ascii="Times New Roman" w:hAnsi="Times New Roman" w:eastAsia="Times New Roman"/>
          <w:b w:val="0"/>
          <w:i w:val="0"/>
          <w:color w:val="20252B"/>
          <w:sz w:val="20"/>
        </w:rPr>
        <w:t>Отказ установки. Прекращение коррекции не является аварией немедленного действия: характерное время ухода 23 суток даёт запас на восстановление, а полная потеря окрестности точки наступает через несколько месяцев. Установка резервируется кратностью два по числу модулей, а положение станции контролируется непрерывно. Это же обстоятельство делает осмысленной эвакуацию в случае необратимого отказа — время на неё измеряется месяцами, а не часами.</w:t>
      </w:r>
    </w:p>
    <w:p>
      <w:pPr>
        <w:pStyle w:val="Heading2"/>
        <w:keepNext/>
        <w:pageBreakBefore w:val="0"/>
        <w:spacing w:after="40"/>
        <w:jc w:val="left"/>
      </w:pPr>
      <w:r>
        <w:rPr>
          <w:rFonts w:ascii="Times New Roman" w:hAnsi="Times New Roman" w:eastAsia="Times New Roman"/>
          <w:b/>
          <w:i w:val="0"/>
          <w:color w:val="2F5D83"/>
          <w:sz w:val="25"/>
        </w:rPr>
        <w:t>11.6. Ориентация и прецессия</w:t>
      </w:r>
    </w:p>
    <w:p>
      <w:pPr>
        <w:pageBreakBefore w:val="0"/>
        <w:spacing w:after="80" w:line="269" w:lineRule="auto"/>
        <w:ind w:firstLine="397"/>
        <w:jc w:val="both"/>
      </w:pPr>
      <w:r>
        <w:rPr>
          <w:rFonts w:ascii="Times New Roman" w:hAnsi="Times New Roman" w:eastAsia="Times New Roman"/>
          <w:b w:val="0"/>
          <w:i w:val="0"/>
          <w:color w:val="20252B"/>
          <w:sz w:val="20"/>
        </w:rPr>
        <w:t>Ось цилиндра прежде предполагалось направлять на Солнце. Расчёт опровергает и это. Момент инерции цилиндра относительно оси вращения составляет 2,73·10²⁰ кг·м². Поворот такой оси со скоростью один оборот в год — то есть слежение за Солнцем при движении станции вместе с Землёй вокруг Солнца — требует гироскопического момента 2,41·10¹² Н·м, что на плече 13 км между осями цилиндров означает пару сил 185 МН, приложенную непрерывно. Это эквивалентно тяге двадцати четырёх двигателей класса первой ступени Falcon 9, работающих без остановки годами, и расходу рабочего тела 59,6 млн тонн в год при удельном импульсе 10 000 секунд — в двенадцать раз больше, чем удержание в самой L1. Решение нереализуемо не по принципу, а по ресурсу.</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противоположное решение: ось станции неподвижна в инерциальном пространстве и не поворачивается вовсе. Вопрос о заводке солнечного света при этом не возникает: освещение обитаемого объёма реакторное (п. 4.13), зеркал у станции нет по решению руководителя проекта, и световой режим внутри цилиндра не зависит от того, куда направлена ось. Отказ от поворота оси, таким образом, не компромисс и не потеря: единственное, что связывало ориентацию с жизнью станции, — солнечное освещение — из проекта исключено.</w:t>
      </w:r>
    </w:p>
    <w:p>
      <w:pPr>
        <w:pageBreakBefore w:val="0"/>
        <w:spacing w:after="80" w:line="269" w:lineRule="auto"/>
        <w:ind w:firstLine="397"/>
        <w:jc w:val="both"/>
      </w:pPr>
      <w:r>
        <w:rPr>
          <w:rFonts w:ascii="Times New Roman" w:hAnsi="Times New Roman" w:eastAsia="Times New Roman"/>
          <w:b w:val="0"/>
          <w:i w:val="0"/>
          <w:color w:val="20252B"/>
          <w:sz w:val="20"/>
        </w:rPr>
        <w:t>Остаточные требования к ориентации сводятся к двум. Первое: высокотемпературные радиаторы должны иметь свободный вид на холодное небо и защиту от прямого солнечного облучения; при неподвижной инерциальной оси это обеспечивается экранами и независимыми поворотными узлами радиаторов, а не постоянным понятием «теневой стороны». Второе: антенны связи с Землёй и солнечные батареи должны сохранять наведение; они подвижны и разворачиваются независимо от корпуса. Ни одно из этих требований не требует поворота всей станции.</w:t>
      </w:r>
    </w:p>
    <w:p>
      <w:pPr>
        <w:pStyle w:val="Heading2"/>
        <w:keepNext/>
        <w:pageBreakBefore w:val="0"/>
        <w:spacing w:after="40"/>
        <w:jc w:val="left"/>
      </w:pPr>
      <w:r>
        <w:rPr>
          <w:rFonts w:ascii="Times New Roman" w:hAnsi="Times New Roman" w:eastAsia="Times New Roman"/>
          <w:b/>
          <w:i w:val="0"/>
          <w:color w:val="2F5D83"/>
          <w:sz w:val="25"/>
        </w:rPr>
        <w:t>11.7. Балансировка вращающегося цилиндра</w:t>
      </w:r>
    </w:p>
    <w:p>
      <w:pPr>
        <w:pageBreakBefore w:val="0"/>
        <w:spacing w:after="80" w:line="269" w:lineRule="auto"/>
        <w:ind w:firstLine="397"/>
        <w:jc w:val="both"/>
      </w:pPr>
      <w:r>
        <w:rPr>
          <w:rFonts w:ascii="Times New Roman" w:hAnsi="Times New Roman" w:eastAsia="Times New Roman"/>
          <w:b w:val="0"/>
          <w:i w:val="0"/>
          <w:color w:val="20252B"/>
          <w:sz w:val="20"/>
        </w:rPr>
        <w:t>Вращающееся тело массой 21,85 млрд т с частотой 0,04429 рад/с предъявляет жёсткие требования к совмещению оси вращения с главной центральной осью инерции. Неуравновешенная масса m на ободе радиусом 5 000 м создаёт вращающуюся силу m·ω²·R, передаваемую на подшипниковые узлы. Допуская нагрузку 10 МН на узел, получаем предельную неуравновешенную массу 1 020 тонн — долю 4,7·10⁻⁶ % массы цилиндра. Перенос груза массой 1 000 тонн с одного борта на другой уже выбирает этот допуск целиком.</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что балансировка не разовая операция монтажа, а непрерывный эксплуатационный процесс. Принимается система балансировочных цистерн: кольцо ёмкостей вдоль внутренней поверхности силового пояса общим объёмом 1,0 млн м³ воды с перекачкой между секторами по сигналу датчиков вибрации подшипниковых узлов. Вода выбрана как рабочее тело потому, что уже присутствует на станции в количестве 1,17 млрд т и не требует отдельной доставки. Система является потребителем из числа насосных нагрузок, учтённых в 96 ГВт (п. Б.15).</w:t>
      </w:r>
    </w:p>
    <w:p>
      <w:pPr>
        <w:pStyle w:val="Heading2"/>
        <w:keepNext/>
        <w:pageBreakBefore w:val="0"/>
        <w:spacing w:after="40"/>
        <w:jc w:val="left"/>
      </w:pPr>
      <w:r>
        <w:rPr>
          <w:rFonts w:ascii="Times New Roman" w:hAnsi="Times New Roman" w:eastAsia="Times New Roman"/>
          <w:b/>
          <w:i w:val="0"/>
          <w:color w:val="2F5D83"/>
          <w:sz w:val="25"/>
        </w:rPr>
        <w:t>11.8. Замкнутый оборот воды</w:t>
      </w:r>
    </w:p>
    <w:p>
      <w:pPr>
        <w:pageBreakBefore w:val="0"/>
        <w:spacing w:after="80" w:line="269" w:lineRule="auto"/>
        <w:ind w:firstLine="397"/>
        <w:jc w:val="both"/>
      </w:pPr>
      <w:r>
        <w:rPr>
          <w:rFonts w:ascii="Times New Roman" w:hAnsi="Times New Roman" w:eastAsia="Times New Roman"/>
          <w:b w:val="0"/>
          <w:i w:val="0"/>
          <w:color w:val="20252B"/>
          <w:sz w:val="20"/>
        </w:rPr>
        <w:t>Запас воды 1,17 млрд т при потреблении 73,05 млн м³ в год соответствует шестнадцатилетнему обороту, если бы вода расходовалась безвозвратно. Замкнутая система этого не допускает: вода не расходуется, а циркулирует, и проектной величиной является не запас, а глубина регенерации.</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регенерация 98 %, достижимая сочетанием биологической очистки, мембранной фильтрации и дистилляции. Безвозвратные потери составляют 1,46 млн т в год и покрываются из запаса в течение 801 года без пополнения извне. Испарение с открытых водоёмов площадью 0,162 км² при норме 3 мм в сутки даёт 178 тыс. т в год, но эта величина остаётся внутри цикла: пар конденсируется на холодных поверхностях и возвращается дождём (п. 4.6). Отдельного восполнения испарение не требует.</w:t>
      </w:r>
    </w:p>
    <w:p>
      <w:pPr>
        <w:pStyle w:val="Heading2"/>
        <w:keepNext/>
        <w:pageBreakBefore w:val="0"/>
        <w:spacing w:after="40"/>
        <w:jc w:val="left"/>
      </w:pPr>
      <w:r>
        <w:rPr>
          <w:rFonts w:ascii="Times New Roman" w:hAnsi="Times New Roman" w:eastAsia="Times New Roman"/>
          <w:b/>
          <w:i w:val="0"/>
          <w:color w:val="2F5D83"/>
          <w:sz w:val="25"/>
        </w:rPr>
        <w:t>11.9. Стоимость и правовой статус</w:t>
      </w:r>
    </w:p>
    <w:p>
      <w:pPr>
        <w:pageBreakBefore w:val="0"/>
        <w:spacing w:after="80" w:line="269" w:lineRule="auto"/>
        <w:ind w:firstLine="397"/>
        <w:jc w:val="both"/>
      </w:pPr>
      <w:r>
        <w:rPr>
          <w:rFonts w:ascii="Times New Roman" w:hAnsi="Times New Roman" w:eastAsia="Times New Roman"/>
          <w:b w:val="0"/>
          <w:i w:val="0"/>
          <w:color w:val="20252B"/>
          <w:sz w:val="20"/>
        </w:rPr>
        <w:t>Оба вопроса называются здесь для полноты и сознательно не раскрываются. Стоимость проекта не поддаётся оценке существующими методами: она определяется стоимостью доставки вещества с астероидов, для которой нет выполненного прецедента промышленного масштаба, и любая цифра была бы вымыслом. Правовой статус постоянного поселения вне земных юрисдикций Договором о космосе 1967 года не урегулирован. Документ является инженерным расчётом; экономическая и правовая проработка составляет предмет отдельных документов и здесь не выполняется.</w:t>
      </w:r>
    </w:p>
    <w:p>
      <w:pPr>
        <w:pStyle w:val="Heading2"/>
        <w:keepNext/>
        <w:pageBreakBefore w:val="0"/>
        <w:spacing w:after="40"/>
      </w:pPr>
      <w:r>
        <w:rPr>
          <w:rFonts w:ascii="Times New Roman" w:hAnsi="Times New Roman" w:eastAsia="Times New Roman"/>
          <w:b/>
          <w:i w:val="0"/>
          <w:color w:val="2F5D83"/>
          <w:sz w:val="25"/>
        </w:rPr>
        <w:t>11.10. Кибербезопасность и критическая автоматика</w:t>
      </w:r>
    </w:p>
    <w:p>
      <w:pPr>
        <w:pageBreakBefore w:val="0"/>
        <w:spacing w:after="80" w:line="269" w:lineRule="auto"/>
        <w:ind w:firstLine="397"/>
        <w:jc w:val="both"/>
      </w:pPr>
      <w:r>
        <w:rPr>
          <w:rFonts w:ascii="Times New Roman" w:hAnsi="Times New Roman" w:eastAsia="Times New Roman"/>
          <w:b w:val="0"/>
          <w:i w:val="0"/>
          <w:color w:val="20252B"/>
          <w:sz w:val="20"/>
        </w:rPr>
        <w:t>Кибербезопасность является отдельным контуром безопасности станции и не сводится к защите офисной сети. Сети управления вращением, герметичными дверями, транспортом, энергетикой, биореакторами, медицинской аппаратурой и аварийным оповещением разделяются физически или через односторонние шлюзы. Для критической команды устанавливаются идентификация оператора, разграничение полномочий, двухоператорное подтверждение опасных действий, неизменяемый журнал событий и аварийный ручной режим. Программное обеспечение должно иметь подписанные версии, резервный образ, процедуру отката и обновление только в утверждённое окно. Потеря связи с Землёй не должна приводить к потере безопасного управления. Конкретная архитектура, перечень угроз, период испытаний и состав независимого аудита ещё не разработаны и являются обязательной задачей до ввода станции в эксплуатацию.</w:t>
      </w:r>
    </w:p>
    <w:p>
      <w:pPr>
        <w:pStyle w:val="Heading2"/>
        <w:keepNext/>
        <w:pageBreakBefore w:val="0"/>
        <w:spacing w:after="40"/>
      </w:pPr>
      <w:r>
        <w:rPr>
          <w:rFonts w:ascii="Times New Roman" w:hAnsi="Times New Roman" w:eastAsia="Times New Roman"/>
          <w:b/>
          <w:i w:val="0"/>
          <w:color w:val="2F5D83"/>
          <w:sz w:val="25"/>
        </w:rPr>
        <w:t>11.11. Аварийное управление, спасение и эвакуация</w:t>
      </w:r>
    </w:p>
    <w:p>
      <w:pPr>
        <w:pageBreakBefore w:val="0"/>
        <w:spacing w:after="80" w:line="269" w:lineRule="auto"/>
        <w:ind w:firstLine="397"/>
        <w:jc w:val="both"/>
      </w:pPr>
      <w:r>
        <w:rPr>
          <w:rFonts w:ascii="Times New Roman" w:hAnsi="Times New Roman" w:eastAsia="Times New Roman"/>
          <w:b w:val="0"/>
          <w:i w:val="0"/>
          <w:color w:val="20252B"/>
          <w:sz w:val="20"/>
        </w:rPr>
        <w:t>Нужна единая система управления происшествиями с четырьмя уровнями: локальная авария, секторная авария, авария цилиндра и общестанционный режим. Для каждого уровня заранее назначаются руководитель, резервный руководитель, порядок объявления тревоги и границы полномочий руководителя проекта, медицинской службы, службы безопасности и органов самоуправления. План спасения должен включать убежища с запасом воздуха, воды и энергии, изоляцию сектора, маршруты к неповреждённым зонам, спасение из транспортной шахты, потерю связи и невозможность немедленной эвакуации на Землю. Внешние причалы рассматриваются как средство помощи, а не как гарантированный путь спасения. До заселения требуются расчёт вместимости убежищ, норматив времени перемещения, регулярные учения и протокол передачи управления российским надзорным органам и внешнему спасательному подрядчику.</w:t>
      </w:r>
    </w:p>
    <w:p>
      <w:pPr>
        <w:pStyle w:val="Heading2"/>
        <w:keepNext/>
        <w:pageBreakBefore w:val="0"/>
        <w:spacing w:after="40"/>
      </w:pPr>
      <w:r>
        <w:rPr>
          <w:rFonts w:ascii="Times New Roman" w:hAnsi="Times New Roman" w:eastAsia="Times New Roman"/>
          <w:b/>
          <w:i w:val="0"/>
          <w:color w:val="2F5D83"/>
          <w:sz w:val="25"/>
        </w:rPr>
        <w:t>11.12. Космическая погода и радиационные события</w:t>
      </w:r>
    </w:p>
    <w:p>
      <w:pPr>
        <w:pageBreakBefore w:val="0"/>
        <w:spacing w:after="80" w:line="269" w:lineRule="auto"/>
        <w:ind w:firstLine="397"/>
        <w:jc w:val="both"/>
      </w:pPr>
      <w:r>
        <w:rPr>
          <w:rFonts w:ascii="Times New Roman" w:hAnsi="Times New Roman" w:eastAsia="Times New Roman"/>
          <w:b w:val="0"/>
          <w:i w:val="0"/>
          <w:color w:val="20252B"/>
          <w:sz w:val="20"/>
        </w:rPr>
        <w:t>Масса радиационной защиты не заменяет эксплуатационный план радиационной безопасности. Станция должна иметь мониторинг галактических космических лучей, солнечных протонных событий и корональных выбросов массы, связь с наземным прогнозом, локальные дозиметры, защищённые убежища и порядок перевода населения в укрытия. Отдельно устанавливаются дозовые пределы для жителей, экипажа, ремонтников, детей и беременных, а также порядок ограничения работ на наружной раме. Проверяются устойчивость автоматики и памяти к радиационным сбоям, отказ связи и потеря части электроники. Количественная модель доз, геометрия убежищ и расписание радиационных учений в документе пока отсутствуют.</w:t>
      </w:r>
    </w:p>
    <w:p>
      <w:pPr>
        <w:pStyle w:val="Heading2"/>
        <w:keepNext/>
        <w:pageBreakBefore w:val="0"/>
        <w:spacing w:after="40"/>
      </w:pPr>
      <w:r>
        <w:rPr>
          <w:rFonts w:ascii="Times New Roman" w:hAnsi="Times New Roman" w:eastAsia="Times New Roman"/>
          <w:b/>
          <w:i w:val="0"/>
          <w:color w:val="2F5D83"/>
          <w:sz w:val="25"/>
        </w:rPr>
        <w:t>11.13. Планетарная защита и биологическое загрязнение</w:t>
      </w:r>
    </w:p>
    <w:p>
      <w:pPr>
        <w:pageBreakBefore w:val="0"/>
        <w:spacing w:after="80" w:line="269" w:lineRule="auto"/>
        <w:ind w:firstLine="397"/>
        <w:jc w:val="both"/>
      </w:pPr>
      <w:r>
        <w:rPr>
          <w:rFonts w:ascii="Times New Roman" w:hAnsi="Times New Roman" w:eastAsia="Times New Roman"/>
          <w:b w:val="0"/>
          <w:i w:val="0"/>
          <w:color w:val="20252B"/>
          <w:sz w:val="20"/>
        </w:rPr>
        <w:t>Карантинный контур защищает станцию от завоза биологических агентов, но не заменяет планетарную защиту. До работ на астероиде устанавливаются чистые и загрязнённые зоны, требования стерилизации роботов и бурового оборудования, порядок обращения с образцами, герметичность лабораторий, журнал передачи проб и запрет необратимого выброса земной биоты до завершения исследования. Отдельно предусматриваются действия при обнаружении возможных внеземных органических соединений или признаков биологической активности. Эти требования распространяются на автора проекта, внешнего перевозчика и все добывающие организации.</w:t>
      </w:r>
    </w:p>
    <w:p>
      <w:pPr>
        <w:pStyle w:val="Heading2"/>
        <w:keepNext/>
        <w:pageBreakBefore w:val="0"/>
        <w:spacing w:after="40"/>
      </w:pPr>
      <w:r>
        <w:rPr>
          <w:rFonts w:ascii="Times New Roman" w:hAnsi="Times New Roman" w:eastAsia="Times New Roman"/>
          <w:b/>
          <w:i w:val="0"/>
          <w:color w:val="2F5D83"/>
          <w:sz w:val="25"/>
        </w:rPr>
        <w:t>11.14. Испытания, сертификация и приёмка</w:t>
      </w:r>
    </w:p>
    <w:p>
      <w:pPr>
        <w:pageBreakBefore w:val="0"/>
        <w:spacing w:after="80" w:line="269" w:lineRule="auto"/>
        <w:ind w:firstLine="397"/>
        <w:jc w:val="both"/>
      </w:pPr>
      <w:r>
        <w:rPr>
          <w:rFonts w:ascii="Times New Roman" w:hAnsi="Times New Roman" w:eastAsia="Times New Roman"/>
          <w:b w:val="0"/>
          <w:i w:val="0"/>
          <w:color w:val="20252B"/>
          <w:sz w:val="20"/>
        </w:rPr>
        <w:t>До заселения станция проходит последовательность: изготовление и заводские испытания; испытания отдельных модулей; сборка; контроль сварных швов и герметичности; проверка вращения и подшипников; испытания энергетики, транспорта, биореакторов и связи; беспилотный режим; испытания с экипажем; независимая проверка безопасности; акт ввода в эксплуатацию. Нужны единая конфигурационная база, контроль изменений, трассировка требований, протоколы отказов и независимая служба приёмки. Ни одна система первой категории — гермопереход, подшипник, реактор, транспортная шахта, биореактор или аварийная автоматика — не может считаться принятой только по расчётному описанию. Программа сертификации и критерии готовности экипажа пока не оформлены.</w:t>
      </w:r>
    </w:p>
    <w:p>
      <w:pPr>
        <w:pStyle w:val="Heading2"/>
        <w:keepNext/>
        <w:pageBreakBefore w:val="0"/>
        <w:spacing w:after="40"/>
      </w:pPr>
      <w:r>
        <w:rPr>
          <w:rFonts w:ascii="Times New Roman" w:hAnsi="Times New Roman" w:eastAsia="Times New Roman"/>
          <w:b/>
          <w:i w:val="0"/>
          <w:color w:val="2F5D83"/>
          <w:sz w:val="25"/>
        </w:rPr>
        <w:t>11.15. Граница ответственности автора проекта и внешнего перевозчика</w:t>
      </w:r>
    </w:p>
    <w:p>
      <w:pPr>
        <w:pageBreakBefore w:val="0"/>
        <w:spacing w:after="80" w:line="269" w:lineRule="auto"/>
        <w:ind w:firstLine="397"/>
        <w:jc w:val="both"/>
      </w:pPr>
      <w:r>
        <w:rPr>
          <w:rFonts w:ascii="Times New Roman" w:hAnsi="Times New Roman" w:eastAsia="Times New Roman"/>
          <w:b w:val="0"/>
          <w:i w:val="0"/>
          <w:color w:val="20252B"/>
          <w:sz w:val="20"/>
        </w:rPr>
        <w:t>В проектной модели сторонняя космическая организация отвечает за запуск, перелёт и доставку, а автор проекта формулирует требования к приёмке, сборке, вводу в эксплуатацию, управлению и дальнейшей эксплуатации станции. Договоры должны отдельно распределить риск запуска, риск передачи груза, риск неправильной стыковки, дефекты доставленного оборудования, ошибки сборки, отказ после ввода в эксплуатацию, страхование, регресс и расследование происшествий. Передача объекта не прекращает обязанности по регистрации, радиочастотам, безопасности и международной отчётности. До заключения договоров и выбора государства регистрации эта матрица остаётся проектным требованием; для фактической эксплуатации потребуется отдельный допущенный оператор.</w:t>
      </w:r>
    </w:p>
    <w:p>
      <w:pPr>
        <w:pStyle w:val="Heading2"/>
        <w:keepNext/>
        <w:pageBreakBefore w:val="0"/>
        <w:spacing w:after="40"/>
      </w:pPr>
      <w:r>
        <w:rPr>
          <w:rFonts w:ascii="Times New Roman" w:hAnsi="Times New Roman" w:eastAsia="Times New Roman"/>
          <w:b/>
          <w:i w:val="0"/>
          <w:color w:val="2F5D83"/>
          <w:sz w:val="25"/>
        </w:rPr>
        <w:t>11.16. Консервация и завершение эксплуатации</w:t>
      </w:r>
    </w:p>
    <w:p>
      <w:pPr>
        <w:pageBreakBefore w:val="0"/>
        <w:spacing w:after="80" w:line="269" w:lineRule="auto"/>
        <w:ind w:firstLine="397"/>
        <w:jc w:val="both"/>
      </w:pPr>
      <w:r>
        <w:rPr>
          <w:rFonts w:ascii="Times New Roman" w:hAnsi="Times New Roman" w:eastAsia="Times New Roman"/>
          <w:b w:val="0"/>
          <w:i w:val="0"/>
          <w:color w:val="20252B"/>
          <w:sz w:val="20"/>
        </w:rPr>
        <w:t>Проекту нужен план окончания жизненного цикла. Он должен предусматривать временную консервацию, частичное расселение, передачу станции другому оператору, безопасное отключение реакторов и энергетических контуров, обращение с радиоактивными и биологическими отходами, защиту оставшихся жителей, демонтаж опасных систем и действия при окончательном отказе связи с Землёй. Нельзя считать станцию безопасно оставленной без определения ответственного оператора и государства, сохраняющего юрисдикцию. Срок службы в столетия требует периодической переаттестации, а не только единовременного ввода в эксплуатацию.</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11. ADDITIONAL ENGINEERING ISSUES</w:t>
      </w:r>
    </w:p>
    <w:p>
      <w:pPr>
        <w:pageBreakBefore w:val="0"/>
        <w:spacing w:after="80" w:line="269" w:lineRule="auto"/>
        <w:ind w:firstLine="397"/>
        <w:jc w:val="both"/>
      </w:pPr>
      <w:r>
        <w:rPr>
          <w:rFonts w:ascii="Times New Roman" w:hAnsi="Times New Roman" w:eastAsia="Times New Roman"/>
          <w:b w:val="0"/>
          <w:i w:val="0"/>
          <w:color w:val="20252B"/>
          <w:sz w:val="20"/>
        </w:rPr>
        <w:t>The chapter integrates additional engineering and operational considerations needed to move from a conceptual model to demonstrators and preliminary design. The station axis remains stationary in inertial space, the lighting is reactor-based, and retention in L1 is ensured by a 63.4 GW installation.</w:t>
      </w:r>
    </w:p>
    <w:p>
      <w:pPr>
        <w:pStyle w:val="Heading2"/>
        <w:keepNext/>
        <w:pageBreakBefore w:val="0"/>
        <w:spacing w:after="40"/>
        <w:jc w:val="left"/>
      </w:pPr>
      <w:r>
        <w:rPr>
          <w:rFonts w:ascii="Times New Roman" w:hAnsi="Times New Roman" w:eastAsia="Times New Roman"/>
          <w:b w:val="0"/>
          <w:i w:val="0"/>
          <w:color w:val="20252B"/>
          <w:sz w:val="20"/>
        </w:rPr>
        <w:t>11.1. Micrometeorites and space debris</w:t>
      </w:r>
    </w:p>
    <w:p>
      <w:pPr>
        <w:pageBreakBefore w:val="0"/>
        <w:spacing w:after="80" w:line="269" w:lineRule="auto"/>
        <w:ind w:firstLine="397"/>
        <w:jc w:val="both"/>
      </w:pPr>
      <w:r>
        <w:rPr>
          <w:rFonts w:ascii="Times New Roman" w:hAnsi="Times New Roman" w:eastAsia="Times New Roman"/>
          <w:b w:val="0"/>
          <w:i w:val="0"/>
          <w:color w:val="20252B"/>
          <w:sz w:val="20"/>
        </w:rPr>
        <w:t>A sporadic meteor background at a distance of one astronomical unit is described by the Grün distribution. For a total area of two cylinders of 3,100.2 km², the flow of particles weighing more than one microgram is about 106.8 collisions per year, those weighing more than a gram are about 0.97 per year, and those weighing more than a kilogram are 0.093 per year, that is, one event approximately once every 10.7 years.</w:t>
      </w:r>
    </w:p>
    <w:p>
      <w:pPr>
        <w:pageBreakBefore w:val="0"/>
        <w:spacing w:after="80" w:line="269" w:lineRule="auto"/>
        <w:ind w:firstLine="397"/>
        <w:jc w:val="both"/>
      </w:pPr>
      <w:r>
        <w:rPr>
          <w:rFonts w:ascii="Times New Roman" w:hAnsi="Times New Roman" w:eastAsia="Times New Roman"/>
          <w:b w:val="0"/>
          <w:i w:val="0"/>
          <w:color w:val="20252B"/>
          <w:sz w:val="20"/>
        </w:rPr>
        <w:t>The penetrating power is assessed by the depth of the crater, which, at an impact speed of about 20 km/s, ranges from two to five particle calibers. Anti-meteoroid protection is a mandatory part of the outer package and does not protrude beyond the smooth outer surface: the outer impact skin, the internal vacuum gap, several sacrificial screens and a fiber-ceramic trap crush the particle before the cloud of debris reaches the containment and force belt. Radiation shielding made of regolith and borosilicate glass acts as an additional layer, but is not considered the only Whipple shield. Calculation of B-L limits for particles from the microgram to meter range, local breakdown alarm and robotic section sealing must be completed as a separate project. All screens are located under a smooth outer skin and do not form outer rings or ribs.</w:t>
      </w:r>
    </w:p>
    <w:p>
      <w:pPr>
        <w:pageBreakBefore w:val="0"/>
        <w:spacing w:after="80" w:line="269" w:lineRule="auto"/>
        <w:ind w:firstLine="397"/>
        <w:jc w:val="both"/>
      </w:pPr>
      <w:r>
        <w:rPr>
          <w:rFonts w:ascii="Times New Roman" w:hAnsi="Times New Roman" w:eastAsia="Times New Roman"/>
          <w:b w:val="0"/>
          <w:i w:val="0"/>
          <w:color w:val="20252B"/>
          <w:sz w:val="20"/>
        </w:rPr>
        <w:t>Space debris of artificial origin belongs to near-Earth orbits below geostationary orbit. Point L1 is 1.5 million km away from the Earth, that is, four times further than the Moon, and there is no man-made debris there. This factor does not apply to the accepted placement location. The danger comes from meter-class natural bodies, the probability of encountering them over a century is estimated at about 10⁻⁴ and is countered by observation and evasion, rather than defense.</w:t>
      </w:r>
    </w:p>
    <w:p>
      <w:pPr>
        <w:pStyle w:val="Heading2"/>
        <w:keepNext/>
        <w:pageBreakBefore w:val="0"/>
        <w:spacing w:after="40"/>
        <w:jc w:val="left"/>
      </w:pPr>
      <w:r>
        <w:rPr>
          <w:rFonts w:ascii="Times New Roman" w:hAnsi="Times New Roman" w:eastAsia="Times New Roman"/>
          <w:b w:val="0"/>
          <w:i w:val="0"/>
          <w:color w:val="20252B"/>
          <w:sz w:val="20"/>
        </w:rPr>
        <w:t>11.2. Waste and mass balance closure</w:t>
      </w:r>
    </w:p>
    <w:p>
      <w:pPr>
        <w:pageBreakBefore w:val="0"/>
        <w:spacing w:after="80" w:line="269" w:lineRule="auto"/>
        <w:ind w:firstLine="397"/>
        <w:jc w:val="both"/>
      </w:pPr>
      <w:r>
        <w:rPr>
          <w:rFonts w:ascii="Times New Roman" w:hAnsi="Times New Roman" w:eastAsia="Times New Roman"/>
          <w:b w:val="0"/>
          <w:i w:val="0"/>
          <w:color w:val="20252B"/>
          <w:sz w:val="20"/>
        </w:rPr>
        <w:t>A population of 1,000,000 people with a rate of 1.5 kg of solid waste per person per day produces 0.55 million tons per year, and with a rate of 200 liters of water - 73 million m³ of wastewater per year. Over a century of operation, an open cycle would result in the accumulation of 55 million tons of waste - a value comparable to the mass of the cylinder power set (70.1 million tons). Storing waste at the station is unacceptable; release into a vacuum is unacceptable, especially since it means the irretrievable loss of matter delivered from asteroids at the cost of the main costs of the project.</w:t>
      </w:r>
    </w:p>
    <w:p>
      <w:pPr>
        <w:pageBreakBefore w:val="0"/>
        <w:spacing w:after="80" w:line="269" w:lineRule="auto"/>
        <w:ind w:firstLine="397"/>
        <w:jc w:val="both"/>
      </w:pPr>
      <w:r>
        <w:rPr>
          <w:rFonts w:ascii="Times New Roman" w:hAnsi="Times New Roman" w:eastAsia="Times New Roman"/>
          <w:b w:val="0"/>
          <w:i w:val="0"/>
          <w:color w:val="20252B"/>
          <w:sz w:val="20"/>
        </w:rPr>
        <w:t>A complete closure is accepted. The organic share of waste, about 60% or 0.33 million tons per year, is composted and returned to the soil; This value partially covers the removal of nutrients from the crop. Metal and glass, about 25% or 0.14 million tons per year, are sent for remelting and returned to production. The residue is burned in oxygen, capturing carbon dioxide; ash weighing 0.08 million tons per year is applied to the soil as a mineral fertilizer. The wastewater undergoes biological treatment and is returned to the water cycle (clause 11.8).</w:t>
      </w:r>
    </w:p>
    <w:p>
      <w:pPr>
        <w:pStyle w:val="Heading2"/>
        <w:keepNext/>
        <w:pageBreakBefore w:val="0"/>
        <w:spacing w:after="40"/>
        <w:jc w:val="left"/>
      </w:pPr>
      <w:r>
        <w:rPr>
          <w:rFonts w:ascii="Times New Roman" w:hAnsi="Times New Roman"/>
        </w:rPr>
        <w:t>11.3. Deceased residents</w:t>
      </w:r>
    </w:p>
    <w:p>
      <w:pPr>
        <w:pageBreakBefore w:val="0"/>
        <w:spacing w:after="80" w:line="269" w:lineRule="auto"/>
        <w:ind w:firstLine="397"/>
        <w:jc w:val="both"/>
      </w:pPr>
      <w:r>
        <w:rPr>
          <w:rFonts w:ascii="Times New Roman" w:hAnsi="Times New Roman" w:eastAsia="Times New Roman"/>
          <w:b w:val="0"/>
          <w:i w:val="0"/>
          <w:color w:val="20252B"/>
          <w:sz w:val="20"/>
        </w:rPr>
        <w:t>The question is inevitable for a closed system and is solved not by custom, but by mass balance. With an earthly mortality rate of 8 people per thousand, the station loses 8,000 people per year, that is, 560 tons of biomass containing about 101 tons of carbon. For the young population of the first decades, formed by the selection of arrivals, the mortality rate will be about 5 per thousand - 5,000 people and 350 tons per year.</w:t>
      </w:r>
    </w:p>
    <w:p>
      <w:pPr>
        <w:pageBreakBefore w:val="0"/>
        <w:spacing w:after="80" w:line="269" w:lineRule="auto"/>
        <w:ind w:firstLine="397"/>
        <w:jc w:val="both"/>
      </w:pPr>
      <w:r>
        <w:rPr>
          <w:rFonts w:ascii="Times New Roman" w:hAnsi="Times New Roman" w:eastAsia="Times New Roman"/>
          <w:b w:val="0"/>
          <w:i w:val="0"/>
          <w:color w:val="20252B"/>
          <w:sz w:val="20"/>
        </w:rPr>
        <w:t>Burial in the cylinder's soil is excluded: a layer of soil 1.5 meters thick is an agricultural resource, not a cemetery, and over a century it would be necessary to allocate about 800 thousand places for burial. Cremation is accepted with the return of carbon to the atmosphere and mineral residue to the soil. The ashes are given to relatives or placed in a columbarium - a structure that does not consume any soil area or substances. The solution is formulated directly: human matter remains in the station’s circulation, the memory of it remains in the columbarium.</w:t>
      </w:r>
    </w:p>
    <w:p>
      <w:pPr>
        <w:pStyle w:val="Heading2"/>
        <w:keepNext/>
        <w:pageBreakBefore w:val="0"/>
        <w:spacing w:after="40"/>
        <w:jc w:val="left"/>
      </w:pPr>
      <w:r>
        <w:rPr>
          <w:rFonts w:ascii="Times New Roman" w:hAnsi="Times New Roman" w:eastAsia="Times New Roman"/>
          <w:b w:val="0"/>
          <w:i w:val="0"/>
          <w:color w:val="20252B"/>
          <w:sz w:val="20"/>
        </w:rPr>
        <w:t>11.4. Fertility and age structure</w:t>
      </w:r>
    </w:p>
    <w:p>
      <w:pPr>
        <w:pageBreakBefore w:val="0"/>
        <w:spacing w:after="80" w:line="269" w:lineRule="auto"/>
        <w:ind w:firstLine="397"/>
        <w:jc w:val="both"/>
      </w:pPr>
      <w:r>
        <w:rPr>
          <w:rFonts w:ascii="Times New Roman" w:hAnsi="Times New Roman" w:eastAsia="Times New Roman"/>
          <w:b w:val="0"/>
          <w:i w:val="0"/>
          <w:color w:val="20252B"/>
          <w:sz w:val="20"/>
        </w:rPr>
        <w:t>The estimated population of the station is 1,000,000 people, 500,000 per cylinder. At a fertility rate of 2.1, the population reproduces without growth; Deviations in demographic parameters require separate modeling and food reserves.</w:t>
      </w:r>
    </w:p>
    <w:p>
      <w:pPr>
        <w:pageBreakBefore w:val="0"/>
        <w:spacing w:after="80" w:line="269" w:lineRule="auto"/>
        <w:ind w:firstLine="397"/>
        <w:jc w:val="both"/>
      </w:pPr>
      <w:r>
        <w:rPr>
          <w:rFonts w:ascii="Times New Roman" w:hAnsi="Times New Roman" w:eastAsia="Times New Roman"/>
          <w:b w:val="0"/>
          <w:i w:val="0"/>
          <w:color w:val="20252B"/>
          <w:sz w:val="20"/>
        </w:rPr>
        <w:t>Hence the design requirement: the station is designed not for the population, but for the population range. An upper limit of 1.2 million people is accepted, provided with a reserve of food and oxygen, and a lower limit of 0.6 million, below which maintenance of the structure is not provided. Demographic regulation lies outside the engineering competence of this document and is only referred to here as a prerequisite for long-term operation.</w:t>
      </w:r>
    </w:p>
    <w:p>
      <w:pPr>
        <w:pStyle w:val="Heading2"/>
        <w:keepNext/>
        <w:pageBreakBefore w:val="0"/>
        <w:spacing w:after="40"/>
        <w:jc w:val="left"/>
      </w:pPr>
      <w:r>
        <w:rPr>
          <w:rFonts w:ascii="Times New Roman" w:hAnsi="Times New Roman" w:eastAsia="Times New Roman"/>
          <w:b w:val="0"/>
          <w:i w:val="0"/>
          <w:color w:val="20252B"/>
          <w:sz w:val="20"/>
        </w:rPr>
        <w:t>11.5. Station hold at point L1</w:t>
      </w:r>
    </w:p>
    <w:p>
      <w:pPr>
        <w:pageBreakBefore w:val="0"/>
        <w:spacing w:after="80" w:line="269" w:lineRule="auto"/>
        <w:ind w:firstLine="397"/>
        <w:jc w:val="both"/>
      </w:pPr>
      <w:r>
        <w:rPr>
          <w:rFonts w:ascii="Times New Roman" w:hAnsi="Times New Roman" w:eastAsia="Times New Roman"/>
          <w:b w:val="0"/>
          <w:i w:val="0"/>
          <w:color w:val="20252B"/>
          <w:sz w:val="20"/>
        </w:rPr>
        <w:t>The location is the first Lagrange point of the Earth-Sun system. The point is unstable, so the station is equipped with a holding unit with a working fluid flow rate calculated in paragraph 11.5.</w:t>
      </w:r>
    </w:p>
    <w:p>
      <w:pPr>
        <w:pageBreakBefore w:val="0"/>
        <w:spacing w:after="80" w:line="269" w:lineRule="auto"/>
        <w:ind w:firstLine="397"/>
        <w:jc w:val="both"/>
      </w:pPr>
      <w:r>
        <w:rPr>
          <w:rFonts w:ascii="Times New Roman" w:hAnsi="Times New Roman" w:eastAsia="Times New Roman"/>
          <w:b w:val="0"/>
          <w:i w:val="0"/>
          <w:color w:val="20252B"/>
          <w:sz w:val="20"/>
        </w:rPr>
        <w:t>Required speed increment. The experience of keeping vehicles in halo orbits around L1 gives from 2 to 4 m/s per year, depending on the accuracy of orbit determination and the frequency of corrections; for the station, 2 m/s per year is assumed with continuous operation of the installation, which corresponds to an optimized halo orbit. The annual impulse is 9.34·10¹³ N·s, the required thrust for continuous application is 2,960 kN.</w:t>
      </w:r>
    </w:p>
    <w:p>
      <w:pPr>
        <w:pageBreakBefore w:val="0"/>
        <w:spacing w:after="80" w:line="269" w:lineRule="auto"/>
        <w:ind w:firstLine="397"/>
        <w:jc w:val="both"/>
      </w:pPr>
      <w:r>
        <w:rPr>
          <w:rFonts w:ascii="Times New Roman" w:hAnsi="Times New Roman" w:eastAsia="Times New Roman"/>
          <w:b w:val="0"/>
          <w:i w:val="0"/>
          <w:color w:val="20252B"/>
          <w:sz w:val="20"/>
        </w:rPr>
        <w:t>Selecting the expiration speed. The flow rate of the working fluid is inversely proportional to the exhaust speed, and the power of the jet grows in proportion to its square, so the solution lies in the optimum between the warehouse and the power plant. At 3 km/s, the consumption reaches 31.1 million tons per year, at 100 km/s the required power of 148 GW absorbs 20.5% of the station. The assumed exhaust speed is 30 km/s (specific impulse 3,058 s): flow rate is 3.11 million tons per year, jet power is 44.4 GW, power consumption at an efficiency of 70% is 63.4 GW, that is, 8.79% of the station power of 721.4 GW. Energy consumption is 450 MJ per kilogram of emitted substance.</w:t>
      </w:r>
    </w:p>
    <w:p>
      <w:pPr>
        <w:pageBreakBefore w:val="0"/>
        <w:spacing w:after="80" w:line="269" w:lineRule="auto"/>
        <w:ind w:firstLine="397"/>
        <w:jc w:val="both"/>
      </w:pPr>
      <w:r>
        <w:rPr>
          <w:rFonts w:ascii="Times New Roman" w:hAnsi="Times New Roman" w:eastAsia="Times New Roman"/>
          <w:b w:val="0"/>
          <w:i w:val="0"/>
          <w:color w:val="20252B"/>
          <w:sz w:val="20"/>
        </w:rPr>
        <w:t>Working fluid. Xenon used in research apparatus is excluded: world production is measured in tens of tons per year against the required 8,524 tons per day. The working fluid is crushed regolith - a substance that is already delivered to the station in the amount of 4.65 billion tons for radiation protection (clause B.16) and does not require either synthesis or purification. Acceleration is carried out by an electromagnetic mass driver, for which regolith is a standard working fluid. The supply of radiation protection would be enough for 1,494 years of continuous operation, but it is not expected to consume the protection: regolith is supplied in the same cargo flow as other raw materials. The station's waste weighing 0.548 million tons per year (clause 11.2) covers 17.6% of the requirement and is sent to the mass driver after extracting useful fractions.</w:t>
      </w:r>
    </w:p>
    <w:p>
      <w:pPr>
        <w:pageBreakBefore w:val="0"/>
        <w:spacing w:after="80" w:line="269" w:lineRule="auto"/>
        <w:ind w:firstLine="397"/>
        <w:jc w:val="both"/>
      </w:pPr>
      <w:r>
        <w:rPr>
          <w:rFonts w:ascii="Times New Roman" w:hAnsi="Times New Roman" w:eastAsia="Times New Roman"/>
          <w:b w:val="0"/>
          <w:i w:val="0"/>
          <w:color w:val="20252B"/>
          <w:sz w:val="20"/>
        </w:rPr>
        <w:t>Total for service life. Over a hundred years of operation, 311 million tons of substance pass through the installation—0.67% of the station’s mass. The value is significant, but not prohibitive: it constitutes a third of the annual program for the delivery of raw materials during the construction phase. The holding installation is accepted as a permanent system of the station along with the energy system and is included in the power balance as a separate line.</w:t>
      </w:r>
    </w:p>
    <w:p>
      <w:pPr>
        <w:pageBreakBefore w:val="0"/>
        <w:spacing w:after="80" w:line="269" w:lineRule="auto"/>
        <w:ind w:firstLine="397"/>
        <w:jc w:val="both"/>
      </w:pPr>
      <w:r>
        <w:rPr>
          <w:rFonts w:ascii="Times New Roman" w:hAnsi="Times New Roman" w:eastAsia="Times New Roman"/>
          <w:b w:val="0"/>
          <w:i w:val="0"/>
          <w:color w:val="20252B"/>
          <w:sz w:val="20"/>
        </w:rPr>
        <w:t>Impact on the power balance of the station. The retention facility adds 63.4 GW to the electrical load, bringing the 658 GW base load to 721.4 GW. The impact on the thermal balance is significantly less: 44.4 GW are carried away by the working fluid jet and leave the station physically, and of the 63.4 GW of plant consumption, 19.0 GW are converted into heat inside the station. The low-temperature load increases from 658 to 677 GW, the required radiator area from 993 to 1,022 km², that is, by 2.9%, with the available 1,477 km² (reserve 1.45). The jet plant turns out to be the only consumer of the station, most of whose energy is not converted into heat inside the structure.</w:t>
      </w:r>
    </w:p>
    <w:p>
      <w:pPr>
        <w:pageBreakBefore w:val="0"/>
        <w:spacing w:after="80" w:line="269" w:lineRule="auto"/>
        <w:ind w:firstLine="397"/>
        <w:jc w:val="both"/>
      </w:pPr>
      <w:r>
        <w:rPr>
          <w:rFonts w:ascii="Times New Roman" w:hAnsi="Times New Roman" w:eastAsia="Times New Roman"/>
          <w:b w:val="0"/>
          <w:i w:val="0"/>
          <w:color w:val="20252B"/>
          <w:sz w:val="20"/>
        </w:rPr>
        <w:t>Installation failure. The cessation of correction is not an immediate emergency: the characteristic departure time of 23 days provides a reserve for recovery, and complete loss of the vicinity of the point occurs after a few months. The installation is redundant in a factor of two according to the number of modules, and the position of the station is monitored continuously. The same circumstance makes evacuation meaningful in the event of an irreversible failure - the time for it is measured in months, not hours.</w:t>
      </w:r>
    </w:p>
    <w:p>
      <w:pPr>
        <w:pStyle w:val="Heading2"/>
        <w:keepNext/>
        <w:pageBreakBefore w:val="0"/>
        <w:spacing w:after="40"/>
        <w:jc w:val="left"/>
      </w:pPr>
      <w:r>
        <w:rPr>
          <w:rFonts w:ascii="Times New Roman" w:hAnsi="Times New Roman" w:eastAsia="Times New Roman"/>
          <w:b w:val="0"/>
          <w:i w:val="0"/>
          <w:color w:val="20252B"/>
          <w:sz w:val="20"/>
        </w:rPr>
        <w:t>11.6. Orientation and precession</w:t>
      </w:r>
    </w:p>
    <w:p>
      <w:pPr>
        <w:pageBreakBefore w:val="0"/>
        <w:spacing w:after="80" w:line="269" w:lineRule="auto"/>
        <w:ind w:firstLine="397"/>
        <w:jc w:val="both"/>
      </w:pPr>
      <w:r>
        <w:rPr>
          <w:rFonts w:ascii="Times New Roman" w:hAnsi="Times New Roman" w:eastAsia="Times New Roman"/>
          <w:b w:val="0"/>
          <w:i w:val="0"/>
          <w:color w:val="20252B"/>
          <w:sz w:val="20"/>
        </w:rPr>
        <w:t>The cylinder axis was previously supposed to be directed towards the Sun. The calculation refutes this too. The moment of inertia of the cylinder relative to the axis of rotation is 2.73·10²⁰ kg·m². Rotation of such an axis at a speed of one revolution per year - that is, tracking the Sun as the station moves along with the Earth around the Sun - requires a gyroscopic moment of 2.41·10¹² N·m, which on an arm of 13 km between the axes of the cylinders means a pair of forces of 185 MN applied continuously. This is equivalent to the thrust of twenty-four Falcon 9 first-stage class engines operating non-stop for years, and a propellant flow rate of 59.6 million tons per year at a specific impulse of 10,000 seconds—twelve times greater than confinement in L1 itself. The solution is unrealizable not by principle, but by resource.</w:t>
      </w:r>
    </w:p>
    <w:p>
      <w:pPr>
        <w:pageBreakBefore w:val="0"/>
        <w:spacing w:after="80" w:line="269" w:lineRule="auto"/>
        <w:ind w:firstLine="397"/>
        <w:jc w:val="both"/>
      </w:pPr>
      <w:r>
        <w:rPr>
          <w:rFonts w:ascii="Times New Roman" w:hAnsi="Times New Roman" w:eastAsia="Times New Roman"/>
          <w:b w:val="0"/>
          <w:i w:val="0"/>
          <w:color w:val="20252B"/>
          <w:sz w:val="20"/>
        </w:rPr>
        <w:t>The opposite decision is made: the station axis is motionless in inertial space and does not rotate at all. The question of generating sunlight does not arise in this case: the lighting of the habitable volume is reactor-based (clause 4.13), the station does not have mirrors by decision of the project manager, and the light regime inside the cylinder does not depend on which way the axis is directed. Refusal to turn the axis, therefore, is not a compromise or a loss: the only thing that connected the orientation with the life of the station - solar lighting - was excluded from the project.</w:t>
      </w:r>
    </w:p>
    <w:p>
      <w:pPr>
        <w:pageBreakBefore w:val="0"/>
        <w:spacing w:after="80" w:line="269" w:lineRule="auto"/>
        <w:ind w:firstLine="397"/>
        <w:jc w:val="both"/>
      </w:pPr>
      <w:r>
        <w:rPr>
          <w:rFonts w:ascii="Times New Roman" w:hAnsi="Times New Roman" w:eastAsia="Times New Roman"/>
          <w:b w:val="0"/>
          <w:i w:val="0"/>
          <w:color w:val="20252B"/>
          <w:sz w:val="20"/>
        </w:rPr>
        <w:t>The remaining requirements for orientation come down to two. First: high-temperature radiators must have a clear view of the cold sky and protection from direct solar radiation; with a fixed inertial axis, this is ensured by screens and independent rotating radiator units, and not by the constant concept of the “shadow side”. Second: antennas for communication with the Earth and solar panels must maintain pointing; they are movable and unfold independently of the body. None of these requirements require rotating the entire station.</w:t>
      </w:r>
    </w:p>
    <w:p>
      <w:pPr>
        <w:pStyle w:val="Heading2"/>
        <w:keepNext/>
        <w:pageBreakBefore w:val="0"/>
        <w:spacing w:after="40"/>
        <w:jc w:val="left"/>
      </w:pPr>
      <w:r>
        <w:rPr>
          <w:rFonts w:ascii="Times New Roman" w:hAnsi="Times New Roman" w:eastAsia="Times New Roman"/>
          <w:b w:val="0"/>
          <w:i w:val="0"/>
          <w:color w:val="20252B"/>
          <w:sz w:val="20"/>
        </w:rPr>
        <w:t>11.7. Balancing a rotating cylinder</w:t>
      </w:r>
    </w:p>
    <w:p>
      <w:pPr>
        <w:pageBreakBefore w:val="0"/>
        <w:spacing w:after="80" w:line="269" w:lineRule="auto"/>
        <w:ind w:firstLine="397"/>
        <w:jc w:val="both"/>
      </w:pPr>
      <w:r>
        <w:rPr>
          <w:rFonts w:ascii="Times New Roman" w:hAnsi="Times New Roman" w:eastAsia="Times New Roman"/>
          <w:b w:val="0"/>
          <w:i w:val="0"/>
          <w:color w:val="20252B"/>
          <w:sz w:val="20"/>
        </w:rPr>
        <w:t>A rotating body weighing 21.85 billion tons with a frequency of 0.04429 rad/s imposes strict requirements on the alignment of the axis of rotation with the main central axis of inertia. An unbalanced mass m on a rim with a radius of 5,000 m creates a rotating force m·ω²·R, transmitted to the bearing units. Assuming a load of 10 MN per unit, we obtain a maximum unbalanced mass of 1,020 tons - a share of 4.7·10⁻⁶% of the cylinder mass. Transferring a cargo weighing 1,000 tons from one side to another already selects this tolerance entirely.</w:t>
      </w:r>
    </w:p>
    <w:p>
      <w:pPr>
        <w:pageBreakBefore w:val="0"/>
        <w:spacing w:after="80" w:line="269" w:lineRule="auto"/>
        <w:ind w:firstLine="397"/>
        <w:jc w:val="both"/>
      </w:pPr>
      <w:r>
        <w:rPr>
          <w:rFonts w:ascii="Times New Roman" w:hAnsi="Times New Roman" w:eastAsia="Times New Roman"/>
          <w:b w:val="0"/>
          <w:i w:val="0"/>
          <w:color w:val="20252B"/>
          <w:sz w:val="20"/>
        </w:rPr>
        <w:t>It follows that balancing is not a one-time installation operation, but a continuous operational process. A system of balancing tanks is adopted: a ring of tanks along the inner surface of the power belt with a total volume of 1.0 million m³ of water with pumping between sectors based on signals from vibration sensors of bearing units. Water was chosen as the working fluid because it is already present at the station in the amount of 1.17 billion tons and does not require separate delivery. The system is a consumer of the pumping loads taken into account in 96 GW (clause B.15).</w:t>
      </w:r>
    </w:p>
    <w:p>
      <w:pPr>
        <w:pStyle w:val="Heading2"/>
        <w:keepNext/>
        <w:pageBreakBefore w:val="0"/>
        <w:spacing w:after="40"/>
        <w:jc w:val="left"/>
      </w:pPr>
      <w:r>
        <w:rPr>
          <w:rFonts w:ascii="Times New Roman" w:hAnsi="Times New Roman" w:eastAsia="Times New Roman"/>
          <w:b w:val="0"/>
          <w:i w:val="0"/>
          <w:color w:val="20252B"/>
          <w:sz w:val="20"/>
        </w:rPr>
        <w:t>11.8. Closed water circulation</w:t>
      </w:r>
    </w:p>
    <w:p>
      <w:pPr>
        <w:pageBreakBefore w:val="0"/>
        <w:spacing w:after="80" w:line="269" w:lineRule="auto"/>
        <w:ind w:firstLine="397"/>
        <w:jc w:val="both"/>
      </w:pPr>
      <w:r>
        <w:rPr>
          <w:rFonts w:ascii="Times New Roman" w:hAnsi="Times New Roman" w:eastAsia="Times New Roman"/>
          <w:b w:val="0"/>
          <w:i w:val="0"/>
          <w:color w:val="20252B"/>
          <w:sz w:val="20"/>
        </w:rPr>
        <w:t>A water reserve of 1.17 billion tons with a consumption of 73.05 million m³ per year corresponds to a sixteen-year turnover if the water were consumed irrevocably. A closed system does not allow this: water is not consumed, but circulates, and the design value is not the reserve, but the depth of regeneration.</w:t>
      </w:r>
    </w:p>
    <w:p>
      <w:pPr>
        <w:pageBreakBefore w:val="0"/>
        <w:spacing w:after="80" w:line="269" w:lineRule="auto"/>
        <w:ind w:firstLine="397"/>
        <w:jc w:val="both"/>
      </w:pPr>
      <w:r>
        <w:rPr>
          <w:rFonts w:ascii="Times New Roman" w:hAnsi="Times New Roman" w:eastAsia="Times New Roman"/>
          <w:b w:val="0"/>
          <w:i w:val="0"/>
          <w:color w:val="20252B"/>
          <w:sz w:val="20"/>
        </w:rPr>
        <w:t>A recovery of 98% is assumed, achievable by a combination of biological treatment, membrane filtration and distillation. Deadweight losses amount to 1.46 million tons per year and are covered from the reserve for 801 years without external replenishment. Evaporation from open reservoirs with an area of 0.162 km² at a rate of 3 mm per day gives 178 thousand tons per year, but this value remains within the cycle: steam condenses on cold surfaces and returns as rain (section 4.6). Evaporation does not require separate replenishment.</w:t>
      </w:r>
    </w:p>
    <w:p>
      <w:pPr>
        <w:pStyle w:val="Heading2"/>
        <w:keepNext/>
        <w:pageBreakBefore w:val="0"/>
        <w:spacing w:after="40"/>
        <w:jc w:val="left"/>
      </w:pPr>
      <w:r>
        <w:rPr>
          <w:rFonts w:ascii="Times New Roman" w:hAnsi="Times New Roman" w:eastAsia="Times New Roman"/>
          <w:b w:val="0"/>
          <w:i w:val="0"/>
          <w:color w:val="20252B"/>
          <w:sz w:val="20"/>
        </w:rPr>
        <w:t>11.9. Cost and legal status</w:t>
      </w:r>
    </w:p>
    <w:p>
      <w:pPr>
        <w:pageBreakBefore w:val="0"/>
        <w:spacing w:after="80" w:line="269" w:lineRule="auto"/>
        <w:ind w:firstLine="397"/>
        <w:jc w:val="both"/>
      </w:pPr>
      <w:r>
        <w:rPr>
          <w:rFonts w:ascii="Times New Roman" w:hAnsi="Times New Roman" w:eastAsia="Times New Roman"/>
          <w:b w:val="0"/>
          <w:i w:val="0"/>
          <w:color w:val="20252B"/>
          <w:sz w:val="20"/>
        </w:rPr>
        <w:t>Both questions are mentioned here for completeness and are deliberately not expanded upon. The cost of the project cannot be estimated using existing methods: it is determined by the cost of delivering material from asteroids, for which there is no completed industrial-scale precedent, and any figure would be fiction. The legal status of permanent settlements outside terrestrial jurisdictions is not regulated by the 1967 Outer Space Treaty. The document is an engineering calculation; economic and legal elaboration is the subject of separate documents and is not carried out here.</w:t>
      </w:r>
    </w:p>
    <w:p>
      <w:pPr>
        <w:pStyle w:val="Heading2"/>
        <w:keepNext/>
        <w:pageBreakBefore w:val="0"/>
        <w:spacing w:after="40"/>
      </w:pPr>
      <w:r>
        <w:rPr>
          <w:rFonts w:ascii="Times New Roman" w:hAnsi="Times New Roman" w:eastAsia="Times New Roman"/>
          <w:b w:val="0"/>
          <w:i w:val="0"/>
          <w:color w:val="20252B"/>
          <w:sz w:val="20"/>
        </w:rPr>
        <w:t>11.10. Cybersecurity and critical automation</w:t>
      </w:r>
    </w:p>
    <w:p>
      <w:pPr>
        <w:pageBreakBefore w:val="0"/>
        <w:spacing w:after="80" w:line="269" w:lineRule="auto"/>
        <w:ind w:firstLine="397"/>
        <w:jc w:val="both"/>
      </w:pPr>
      <w:r>
        <w:rPr>
          <w:rFonts w:ascii="Times New Roman" w:hAnsi="Times New Roman" w:eastAsia="Times New Roman"/>
          <w:b w:val="0"/>
          <w:i w:val="0"/>
          <w:color w:val="20252B"/>
          <w:sz w:val="20"/>
        </w:rPr>
        <w:t>Cybersecurity is a separate security loop of the station and is not limited to protecting the office network. Rotation, airtight door, transport, energy, bioreactor, medical, and emergency control networks are separated physically or through one-way gateways. For a critical command, operator identification, delimitation of authority, two-operator confirmation of dangerous actions, an immutable event log and a manual emergency mode are established. The software must have signed versions, a backup image, a rollback procedure, and updates only during an approved window. Loss of contact with Earth should not lead to loss of safe control. The specific architecture, list of threats, testing period and composition of the independent audit have not yet been developed and are a mandatory task before the plant is put into operation.</w:t>
      </w:r>
    </w:p>
    <w:p>
      <w:pPr>
        <w:pStyle w:val="Heading2"/>
        <w:keepNext/>
        <w:pageBreakBefore w:val="0"/>
        <w:spacing w:after="40"/>
      </w:pPr>
      <w:r>
        <w:rPr>
          <w:rFonts w:ascii="Times New Roman" w:hAnsi="Times New Roman" w:eastAsia="Times New Roman"/>
          <w:b w:val="0"/>
          <w:i w:val="0"/>
          <w:color w:val="20252B"/>
          <w:sz w:val="20"/>
        </w:rPr>
        <w:t>11.11. Emergency management, rescue and evacuation</w:t>
      </w:r>
    </w:p>
    <w:p>
      <w:pPr>
        <w:pageBreakBefore w:val="0"/>
        <w:spacing w:after="80" w:line="269" w:lineRule="auto"/>
        <w:ind w:firstLine="397"/>
        <w:jc w:val="both"/>
      </w:pPr>
      <w:r>
        <w:rPr>
          <w:rFonts w:ascii="Times New Roman" w:hAnsi="Times New Roman" w:eastAsia="Times New Roman"/>
          <w:b w:val="0"/>
          <w:i w:val="0"/>
          <w:color w:val="20252B"/>
          <w:sz w:val="20"/>
        </w:rPr>
        <w:t>We need a unified incident management system with four levels: local accident, sector accident, cylinder failure and station-wide mode. For each level, a leader, a backup leader, the procedure for declaring an alarm and the boundaries of authority of the project manager, medical service, security service and self-government bodies are assigned in advance. The rescue plan must include shelters with air, water and energy supplies, sector isolation, routes to undamaged areas, rescue from the transport shaft, loss of communications and the impossibility of immediate evacuation to Earth. External moorings are seen as a means of assistance, not as a guaranteed route of escape. Before settlement, calculations of shelter capacity, travel time standards, regular exercises, and a protocol for transferring control to Russian supervisory authorities and an external rescue contractor are required.</w:t>
      </w:r>
    </w:p>
    <w:p>
      <w:pPr>
        <w:pStyle w:val="Heading2"/>
        <w:keepNext/>
        <w:pageBreakBefore w:val="0"/>
        <w:spacing w:after="40"/>
      </w:pPr>
      <w:r>
        <w:rPr>
          <w:rFonts w:ascii="Times New Roman" w:hAnsi="Times New Roman" w:eastAsia="Times New Roman"/>
          <w:b w:val="0"/>
          <w:i w:val="0"/>
          <w:color w:val="20252B"/>
          <w:sz w:val="20"/>
        </w:rPr>
        <w:t>11.12. Space weather and radiation events</w:t>
      </w:r>
    </w:p>
    <w:p>
      <w:pPr>
        <w:pageBreakBefore w:val="0"/>
        <w:spacing w:after="80" w:line="269" w:lineRule="auto"/>
        <w:ind w:firstLine="397"/>
        <w:jc w:val="both"/>
      </w:pPr>
      <w:r>
        <w:rPr>
          <w:rFonts w:ascii="Times New Roman" w:hAnsi="Times New Roman" w:eastAsia="Times New Roman"/>
          <w:b w:val="0"/>
          <w:i w:val="0"/>
          <w:color w:val="20252B"/>
          <w:sz w:val="20"/>
        </w:rPr>
        <w:t>The radiation protection mass does not replace the operational radiation safety plan. The station must have monitoring of galactic cosmic rays, solar proton events and coronal mass ejections, communication with ground-based forecasts, local dosimeters, protected shelters and procedures for transferring the population to shelters. Separately, dose limits are established for residents, crew, repairmen, children and pregnant women, as well as a procedure for limiting work on the outer frame. The resistance of automation and memory to radiation failures, communication failure and loss of part of the electronics are tested. A quantitative dose model, shelter geometry, and radiation exercise schedule are not yet included in the document.</w:t>
      </w:r>
    </w:p>
    <w:p>
      <w:pPr>
        <w:pStyle w:val="Heading2"/>
        <w:keepNext/>
        <w:pageBreakBefore w:val="0"/>
        <w:spacing w:after="40"/>
      </w:pPr>
      <w:r>
        <w:rPr>
          <w:rFonts w:ascii="Times New Roman" w:hAnsi="Times New Roman" w:eastAsia="Times New Roman"/>
          <w:b w:val="0"/>
          <w:i w:val="0"/>
          <w:color w:val="20252B"/>
          <w:sz w:val="20"/>
        </w:rPr>
        <w:t>11.13. Planetary protection and biological pollution</w:t>
      </w:r>
    </w:p>
    <w:p>
      <w:pPr>
        <w:pageBreakBefore w:val="0"/>
        <w:spacing w:after="80" w:line="269" w:lineRule="auto"/>
        <w:ind w:firstLine="397"/>
        <w:jc w:val="both"/>
      </w:pPr>
      <w:r>
        <w:rPr>
          <w:rFonts w:ascii="Times New Roman" w:hAnsi="Times New Roman" w:eastAsia="Times New Roman"/>
          <w:b w:val="0"/>
          <w:i w:val="0"/>
          <w:color w:val="20252B"/>
          <w:sz w:val="20"/>
        </w:rPr>
        <w:t>The quarantine circuit protects the station from the introduction of biological agents, but does not replace planetary protection. Before work on the asteroid, clean and contaminated zones, requirements for sterilization of robots and drilling equipment, procedures for handling samples, the tightness of laboratories, a log for transferring samples, and a ban on the irreversible release of terrestrial biota until the completion of the study are established. Separate actions are provided for when possible extraterrestrial organic compounds or signs of biological activity are detected. These requirements apply to the project author, external carrier and all mining organizations.</w:t>
      </w:r>
    </w:p>
    <w:p>
      <w:pPr>
        <w:pStyle w:val="Heading2"/>
        <w:keepNext/>
        <w:pageBreakBefore w:val="0"/>
        <w:spacing w:after="40"/>
      </w:pPr>
      <w:r>
        <w:rPr>
          <w:rFonts w:ascii="Times New Roman" w:hAnsi="Times New Roman" w:eastAsia="Times New Roman"/>
          <w:b w:val="0"/>
          <w:i w:val="0"/>
          <w:color w:val="20252B"/>
          <w:sz w:val="20"/>
        </w:rPr>
        <w:t>11.14. Testing, certification and acceptance</w:t>
      </w:r>
    </w:p>
    <w:p>
      <w:pPr>
        <w:pageBreakBefore w:val="0"/>
        <w:spacing w:after="80" w:line="269" w:lineRule="auto"/>
        <w:ind w:firstLine="397"/>
        <w:jc w:val="both"/>
      </w:pPr>
      <w:r>
        <w:rPr>
          <w:rFonts w:ascii="Times New Roman" w:hAnsi="Times New Roman" w:eastAsia="Times New Roman"/>
          <w:b w:val="0"/>
          <w:i w:val="0"/>
          <w:color w:val="20252B"/>
          <w:sz w:val="20"/>
        </w:rPr>
        <w:t>Before occupancy, the station goes through the following sequence: manufacturing and factory testing; testing of individual modules; assembly; control of welds and tightness; checking rotation and bearings; testing of energy, transport, bioreactors and communications; unmanned mode; crewed tests; independent safety audit; commissioning certificate. We need a unified configuration database, change control, requirements tracing, failure protocols and an independent acceptance service. Not a single system of the first category - a pressure seal, a bearing, a reactor, a transport shaft, a bioreactor or emergency automation - can be considered accepted only according to the calculation description. The certification program and crew readiness criteria have not yet been formalized.</w:t>
      </w:r>
    </w:p>
    <w:p>
      <w:pPr>
        <w:pStyle w:val="Heading2"/>
        <w:keepNext/>
        <w:pageBreakBefore w:val="0"/>
        <w:spacing w:after="40"/>
      </w:pPr>
      <w:r>
        <w:rPr>
          <w:rFonts w:ascii="Times New Roman" w:hAnsi="Times New Roman" w:eastAsia="Times New Roman"/>
          <w:b w:val="0"/>
          <w:i w:val="0"/>
          <w:color w:val="20252B"/>
          <w:sz w:val="20"/>
        </w:rPr>
        <w:t>11.15. Limits of responsibility between the project author and the external carrier</w:t>
      </w:r>
    </w:p>
    <w:p>
      <w:pPr>
        <w:pageBreakBefore w:val="0"/>
        <w:spacing w:after="80" w:line="269" w:lineRule="auto"/>
        <w:ind w:firstLine="397"/>
        <w:jc w:val="both"/>
      </w:pPr>
      <w:r>
        <w:rPr>
          <w:rFonts w:ascii="Times New Roman" w:hAnsi="Times New Roman" w:eastAsia="Times New Roman"/>
          <w:b w:val="0"/>
          <w:i w:val="0"/>
          <w:color w:val="20252B"/>
          <w:sz w:val="20"/>
        </w:rPr>
        <w:t>In the design model, a third-party space organization is responsible for launch, flight and delivery, and the project author formulates the requirements for acceptance, assembly, commissioning, management and further operation of the station. Contracts must separately allocate launch risk, cargo handover risk, improper docking risk, defects in delivered equipment, assembly errors, post-commissioning failure, insurance, recourse and accident investigation. The transfer of the facility does not terminate registration, radio frequency, security and international reporting responsibilities. Until contracts are concluded and the state of registration is selected, this matrix remains a design requirement; A separate authorized operator will be required for actual operation.</w:t>
      </w:r>
    </w:p>
    <w:p>
      <w:pPr>
        <w:pStyle w:val="Heading2"/>
        <w:keepNext/>
        <w:pageBreakBefore w:val="0"/>
        <w:spacing w:after="40"/>
      </w:pPr>
      <w:r>
        <w:rPr>
          <w:rFonts w:ascii="Times New Roman" w:hAnsi="Times New Roman" w:eastAsia="Times New Roman"/>
          <w:b w:val="0"/>
          <w:i w:val="0"/>
          <w:color w:val="20252B"/>
          <w:sz w:val="20"/>
        </w:rPr>
        <w:t>11.16. Conservation and end of operation</w:t>
      </w:r>
    </w:p>
    <w:p>
      <w:pPr>
        <w:pageBreakBefore w:val="0"/>
        <w:spacing w:after="80" w:line="269" w:lineRule="auto"/>
        <w:ind w:firstLine="397"/>
        <w:jc w:val="both"/>
      </w:pPr>
      <w:r>
        <w:rPr>
          <w:rFonts w:ascii="Times New Roman" w:hAnsi="Times New Roman" w:eastAsia="Times New Roman"/>
          <w:b w:val="0"/>
          <w:i w:val="0"/>
          <w:color w:val="20252B"/>
          <w:sz w:val="20"/>
        </w:rPr>
        <w:t>The project needs an end-of-life plan. It should provide for temporary mothballing, partial resettlement, transfer of the station to another operator, safe shutdown of reactors and power circuits, management of radioactive and biological waste, protection of remaining residents, dismantling of dangerous systems and actions in the event of a final failure of communication with the Earth. A station cannot be considered to be safely abandoned without identifying the responsible operator and the State retaining jurisdiction. A service life of centuries requires periodic re-qualification, and not just a one-time commissioning.</w:t>
      </w:r>
    </w:p>
    <w:p/>
    <w:p>
      <w:pPr>
        <w:spacing w:before="200"/>
        <w:jc w:val="center"/>
      </w:pPr>
      <w:r>
        <w:rPr>
          <w:b/>
          <w:color w:val="2E5496"/>
          <w:sz w:val="17"/>
        </w:rPr>
        <w:t>СПИСОК ЛИТЕРАТУРЫ РАЗДЕЛА / REFERENCES OF THIS SECTION</w:t>
      </w:r>
    </w:p>
    <w:p>
      <w:r>
        <w:rPr>
          <w:i/>
          <w:sz w:val="18"/>
        </w:rPr>
        <w:t>Раздел не опирается на внешние источники: все его величины получены вычислением из параметров, принятых в разделе 2.</w:t>
      </w:r>
    </w:p>
    <w:p>
      <w:r>
        <w:rPr>
          <w:i/>
          <w:sz w:val="18"/>
        </w:rPr>
        <w:t>This section does not rely on external sources: all its values are obtained by computation from the parameters adopted in section 2.</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