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12 / Section 12</w:t>
      </w:r>
    </w:p>
    <w:p>
      <w:pPr>
        <w:jc w:val="center"/>
      </w:pPr>
      <w:r>
        <w:rPr>
          <w:b/>
          <w:color w:val="1F3864"/>
          <w:sz w:val="26"/>
        </w:rPr>
        <w:t>12. ВНУТРЕННЯЯ СРЕДА: ТРАНСПОРТ, УРБАНИСТИКА, ИНЖЕНЕРНЫЕ СЕТИ</w:t>
      </w:r>
    </w:p>
    <w:p>
      <w:pPr>
        <w:jc w:val="center"/>
      </w:pPr>
      <w:r>
        <w:rPr>
          <w:b/>
          <w:color w:val="1F3864"/>
          <w:sz w:val="26"/>
        </w:rPr>
        <w:t>12. INTERNAL ENVIRONMENT: TRANSPORT, URBANISM, UTILITY NETWORKS</w:t>
      </w:r>
    </w:p>
    <w:p>
      <w:pPr>
        <w:jc w:val="center"/>
      </w:pPr>
      <w:r>
        <w:rPr>
          <w:i/>
          <w:sz w:val="17"/>
        </w:rPr>
        <w:t>Редакция 8 · 31 октября 2026 г.  ·  документ 14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12. ВНУТРЕННЯЯ СРЕДА: ТРАНСПОРТ, УРБАНИСТИКА, ИНЖЕНЕРНЫЕ СЕТИ</w:t>
      </w:r>
    </w:p>
    <w:p>
      <w:pPr>
        <w:pageBreakBefore w:val="0"/>
        <w:spacing w:after="80" w:line="269" w:lineRule="auto"/>
        <w:ind w:firstLine="397"/>
        <w:jc w:val="both"/>
      </w:pPr>
      <w:r>
        <w:rPr>
          <w:rFonts w:ascii="Times New Roman" w:hAnsi="Times New Roman" w:eastAsia="Times New Roman"/>
          <w:b w:val="0"/>
          <w:i w:val="0"/>
          <w:color w:val="20252B"/>
          <w:sz w:val="20"/>
        </w:rPr>
        <w:t>Главы 4–11 описывают станцию как сооружение и как замкнутую систему жизнеобеспечения. Настоящая глава описывает её как место, где живут: как люди и грузы перемещаются по обитаемой поверхности, как эта поверхность поделена между городом, полем и лесом, как проложены сети. Исходные данные: боковая поверхность 1 257 км² на цилиндр, население 500 000 человек на цилиндр, средняя плотность 398 человек на км² — вчетверо ниже плотности Московской области и вдесятеро ниже плотности Москвы. Теснота станции не грозит; грозит другое — расстояния.</w:t>
      </w:r>
    </w:p>
    <w:p>
      <w:pPr>
        <w:pStyle w:val="Heading2"/>
        <w:keepNext/>
        <w:pageBreakBefore w:val="0"/>
        <w:spacing w:after="40"/>
        <w:jc w:val="left"/>
      </w:pPr>
      <w:r>
        <w:rPr>
          <w:rFonts w:ascii="Times New Roman" w:hAnsi="Times New Roman" w:eastAsia="Times New Roman"/>
          <w:b/>
          <w:i w:val="0"/>
          <w:color w:val="2F5D83"/>
          <w:sz w:val="25"/>
        </w:rPr>
        <w:t>12.1. Геометрия перемещений</w:t>
      </w:r>
    </w:p>
    <w:p>
      <w:pPr>
        <w:pageBreakBefore w:val="0"/>
        <w:spacing w:after="80" w:line="269" w:lineRule="auto"/>
        <w:ind w:firstLine="397"/>
        <w:jc w:val="both"/>
      </w:pPr>
      <w:r>
        <w:rPr>
          <w:rFonts w:ascii="Times New Roman" w:hAnsi="Times New Roman" w:eastAsia="Times New Roman"/>
          <w:b w:val="0"/>
          <w:i w:val="0"/>
          <w:color w:val="20252B"/>
          <w:sz w:val="20"/>
        </w:rPr>
        <w:t>Обитаемая поверхность есть прямоугольник 31,42 × 40 км, свёрнутый в цилиндр по короткой стороне. Наибольшее расстояние между двумя точками составляет 43,0 км по диагонали, наибольшее продольное — 40 км, наибольшее поперечное — 15,71 км, поскольку по окружности всегда можно ехать в обе стороны. Для сравнения: поперечник Москвы в пределах МКАД около 40 км. Задача транспорта, таким образом, есть задача крупного города, а не посёлка.</w:t>
      </w:r>
    </w:p>
    <w:p>
      <w:pPr>
        <w:pageBreakBefore w:val="0"/>
        <w:spacing w:after="80" w:line="269" w:lineRule="auto"/>
        <w:ind w:firstLine="397"/>
        <w:jc w:val="both"/>
      </w:pPr>
      <w:r>
        <w:rPr>
          <w:rFonts w:ascii="Times New Roman" w:hAnsi="Times New Roman" w:eastAsia="Times New Roman"/>
          <w:b w:val="0"/>
          <w:i w:val="0"/>
          <w:color w:val="20252B"/>
          <w:sz w:val="20"/>
        </w:rPr>
        <w:t>Существенное отличие от Земли создаёт вращение. Оно делит все направления на два неравноправных класса, и это определяет всю схему сообщения.</w:t>
      </w:r>
    </w:p>
    <w:p>
      <w:pPr>
        <w:pStyle w:val="Heading2"/>
        <w:keepNext/>
        <w:pageBreakBefore w:val="0"/>
        <w:spacing w:after="40"/>
        <w:jc w:val="left"/>
      </w:pPr>
      <w:r>
        <w:rPr>
          <w:rFonts w:ascii="Times New Roman" w:hAnsi="Times New Roman" w:eastAsia="Times New Roman"/>
          <w:b/>
          <w:i w:val="0"/>
          <w:color w:val="2F5D83"/>
          <w:sz w:val="25"/>
        </w:rPr>
        <w:t>12.2. Влияние вращения на движение: почему направления неравны</w:t>
      </w:r>
    </w:p>
    <w:p>
      <w:pPr>
        <w:pageBreakBefore w:val="0"/>
        <w:spacing w:after="80" w:line="269" w:lineRule="auto"/>
        <w:ind w:firstLine="397"/>
        <w:jc w:val="both"/>
      </w:pPr>
      <w:r>
        <w:rPr>
          <w:rFonts w:ascii="Times New Roman" w:hAnsi="Times New Roman" w:eastAsia="Times New Roman"/>
          <w:b w:val="0"/>
          <w:i w:val="0"/>
          <w:color w:val="20252B"/>
          <w:sz w:val="20"/>
        </w:rPr>
        <w:t>Движение вдоль оси цилиндра. Скорость такого движения параллельна вектору угловой скорости, векторное произведение обращается в нуль, и ускорение Кориолиса отсутствует полностью, при любой скорости движения. Продольное направление свободно от вращательных эффектов, и по нему можно двигаться сколь угодно быстро без каких-либо ощущений, кроме обычного разгона.</w:t>
      </w:r>
    </w:p>
    <w:p>
      <w:pPr>
        <w:pageBreakBefore w:val="0"/>
        <w:spacing w:after="80" w:line="269" w:lineRule="auto"/>
        <w:ind w:firstLine="397"/>
        <w:jc w:val="both"/>
      </w:pPr>
      <w:r>
        <w:rPr>
          <w:rFonts w:ascii="Times New Roman" w:hAnsi="Times New Roman" w:eastAsia="Times New Roman"/>
          <w:b w:val="0"/>
          <w:i w:val="0"/>
          <w:color w:val="20252B"/>
          <w:sz w:val="20"/>
        </w:rPr>
        <w:t>Движение по окружности. Здесь скорость поезда складывается со скоростью вращения обода, и вес пассажира изменяется как квадрат суммы. Расчёт по формуле (ωR ± v)²/R даёт: при 60 км/ч по направлению вращения вес возрастает на 15,6 %, против вращения — падает на 14,5 %; при 160 км/ч это уже +44,1 % и −36,1 %; при 300 км/ч — +89,4 % и −61,1 %. Поезд, идущий против вращения со скоростью 300 км/ч, уносит у пассажиров три пятых веса; встречный поезд почти удваивает его. Ни то, ни другое недопустимо в пассажирском сообщении.</w:t>
      </w:r>
    </w:p>
    <w:p>
      <w:pPr>
        <w:pageBreakBefore w:val="0"/>
        <w:spacing w:after="80" w:line="269" w:lineRule="auto"/>
        <w:ind w:firstLine="397"/>
        <w:jc w:val="both"/>
      </w:pPr>
      <w:r>
        <w:rPr>
          <w:rFonts w:ascii="Times New Roman" w:hAnsi="Times New Roman" w:eastAsia="Times New Roman"/>
          <w:b w:val="0"/>
          <w:i w:val="0"/>
          <w:color w:val="20252B"/>
          <w:sz w:val="20"/>
        </w:rPr>
        <w:t>Отсюда проектное ограничение: при допуске на изменение веса ±10 % предельная скорость кольцевого движения составляет 39 км/ч, при допуске ±5 % — 20 км/ч. Принимается ограничение 40 км/ч для кольцевых линий. Продольные линии ограничений по этой причине не имеют.</w:t>
      </w:r>
    </w:p>
    <w:p>
      <w:pPr>
        <w:pStyle w:val="Heading2"/>
        <w:keepNext/>
        <w:pageBreakBefore w:val="0"/>
        <w:spacing w:after="40"/>
        <w:jc w:val="left"/>
      </w:pPr>
      <w:r>
        <w:rPr>
          <w:rFonts w:ascii="Times New Roman" w:hAnsi="Times New Roman" w:eastAsia="Times New Roman"/>
          <w:b/>
          <w:i w:val="0"/>
          <w:color w:val="2F5D83"/>
          <w:sz w:val="25"/>
        </w:rPr>
        <w:t>12.3. Схема пассажирского сообщения</w:t>
      </w:r>
    </w:p>
    <w:p>
      <w:pPr>
        <w:pageBreakBefore w:val="0"/>
        <w:spacing w:after="80" w:line="269" w:lineRule="auto"/>
        <w:ind w:firstLine="397"/>
        <w:jc w:val="both"/>
      </w:pPr>
      <w:r>
        <w:rPr>
          <w:rFonts w:ascii="Times New Roman" w:hAnsi="Times New Roman" w:eastAsia="Times New Roman"/>
          <w:b w:val="0"/>
          <w:i w:val="0"/>
          <w:color w:val="20252B"/>
          <w:sz w:val="20"/>
        </w:rPr>
        <w:t>Из сказанного следует несимметричная сеть. Быстрое сообщение строится вдоль оси, медленное — по окружности, и любая дальняя поездка складывается из короткого кольцевого подвоза и длинного продольного перегона.</w:t>
      </w:r>
    </w:p>
    <w:p>
      <w:pPr>
        <w:pageBreakBefore w:val="0"/>
        <w:spacing w:after="80" w:line="269" w:lineRule="auto"/>
        <w:ind w:firstLine="397"/>
        <w:jc w:val="both"/>
      </w:pPr>
      <w:r>
        <w:rPr>
          <w:rFonts w:ascii="Times New Roman" w:hAnsi="Times New Roman" w:eastAsia="Times New Roman"/>
          <w:b w:val="0"/>
          <w:i w:val="0"/>
          <w:color w:val="20252B"/>
          <w:sz w:val="20"/>
        </w:rPr>
        <w:t>Продольные магистрали: четыре линии, расположенные по окружности с шагом 7,85 км, каждая длиной 40 км, скорость сообщения 160 км/ч, время из конца в конец 15 минут. Подвижной состав на магнитном подвесе в частично вакуумированном тоннеле не применяется: разрежение внутри обитаемого объёма нецелесообразно, применяется обычный рельсовый транспорт с электротягой.</w:t>
      </w:r>
    </w:p>
    <w:p>
      <w:pPr>
        <w:pageBreakBefore w:val="0"/>
        <w:spacing w:after="80" w:line="269" w:lineRule="auto"/>
        <w:ind w:firstLine="397"/>
        <w:jc w:val="both"/>
      </w:pPr>
      <w:r>
        <w:rPr>
          <w:rFonts w:ascii="Times New Roman" w:hAnsi="Times New Roman" w:eastAsia="Times New Roman"/>
          <w:b w:val="0"/>
          <w:i w:val="0"/>
          <w:color w:val="20252B"/>
          <w:sz w:val="20"/>
        </w:rPr>
        <w:t>Кольцевые линии: девять линий с шагом 5 км вдоль оси, каждая длиной 31,42 км, скорость 40 км/ч, полный оборот 47 минут. Они же выполняют роль городского трамвая внутри поселений.</w:t>
      </w:r>
    </w:p>
    <w:p>
      <w:pPr>
        <w:pageBreakBefore w:val="0"/>
        <w:spacing w:after="80" w:line="269" w:lineRule="auto"/>
        <w:ind w:firstLine="397"/>
        <w:jc w:val="both"/>
      </w:pPr>
      <w:r>
        <w:rPr>
          <w:rFonts w:ascii="Times New Roman" w:hAnsi="Times New Roman" w:eastAsia="Times New Roman"/>
          <w:b w:val="0"/>
          <w:i w:val="0"/>
          <w:color w:val="20252B"/>
          <w:sz w:val="20"/>
        </w:rPr>
        <w:t>Общая протяжённость сети составляет 443 км на цилиндр при станциях через 2 км, то есть 221 станция. Расчёт провозной способности: при подвижности 2,5 поездки на человека в сутки станция даёт 1,25 млн поездок в сутки на цилиндр, в час пик 125 тысяч поездок. При провозной способности линии 60 000 человек в час в одном направлении для пика достаточно двух магистралей из четырёх; четыре приняты с двукратным запасом и для сокращения подходов.</w:t>
      </w:r>
    </w:p>
    <w:p>
      <w:pPr>
        <w:pageBreakBefore w:val="0"/>
        <w:spacing w:after="80" w:line="269" w:lineRule="auto"/>
        <w:ind w:firstLine="397"/>
        <w:jc w:val="both"/>
      </w:pPr>
      <w:r>
        <w:rPr>
          <w:rFonts w:ascii="Times New Roman" w:hAnsi="Times New Roman" w:eastAsia="Times New Roman"/>
          <w:b w:val="0"/>
          <w:i w:val="0"/>
          <w:color w:val="20252B"/>
          <w:sz w:val="20"/>
        </w:rPr>
        <w:t>Индивидуальный транспорт. Автомобиль с двигателем внутреннего сгорания в замкнутой атмосфере исключён безусловно: миллион машин выбрасывал бы в объём 3 613 км³ продукты сгорания, которые пришлось бы улавливать той же системой, что поддерживает состав воздуха. Разрешается электрический транспорт, велосипед и пешее движение; при плотности 398 человек на км² и шаге станций 2 км потребность в личном транспорте невелика.</w:t>
      </w:r>
    </w:p>
    <w:p>
      <w:pPr>
        <w:pStyle w:val="Heading2"/>
        <w:keepNext/>
        <w:pageBreakBefore w:val="0"/>
        <w:spacing w:after="40"/>
        <w:jc w:val="left"/>
      </w:pPr>
      <w:r>
        <w:rPr>
          <w:rFonts w:ascii="Times New Roman" w:hAnsi="Times New Roman" w:eastAsia="Times New Roman"/>
          <w:b/>
          <w:i w:val="0"/>
          <w:color w:val="2F5D83"/>
          <w:sz w:val="25"/>
        </w:rPr>
        <w:t>12.4. Грузовое сообщение</w:t>
      </w:r>
    </w:p>
    <w:p>
      <w:pPr>
        <w:pageBreakBefore w:val="0"/>
        <w:spacing w:after="80" w:line="269" w:lineRule="auto"/>
        <w:ind w:firstLine="397"/>
        <w:jc w:val="both"/>
      </w:pPr>
      <w:r>
        <w:rPr>
          <w:rFonts w:ascii="Times New Roman" w:hAnsi="Times New Roman" w:eastAsia="Times New Roman"/>
          <w:b w:val="0"/>
          <w:i w:val="0"/>
          <w:color w:val="20252B"/>
          <w:sz w:val="20"/>
        </w:rPr>
        <w:t>Внутренний грузопоток образуют продовольствие от полей к поселениям (1 800 т в сутки на станцию), отходы от поселений к перерабатывающим узлам (1 500 т в сутки) и промышленные перевозки. Суммарно около 3 300 т в сутки, то есть 138 т в час — величина, отвечающая трём-четырём составам по 1 000 тонн. Грузовое движение выносится на ночные часы по тем же продольным магистралям с устройством разъездов; отдельных грузовых линий не требуется.</w:t>
      </w:r>
    </w:p>
    <w:p>
      <w:pPr>
        <w:pageBreakBefore w:val="0"/>
        <w:spacing w:after="80" w:line="269" w:lineRule="auto"/>
        <w:ind w:firstLine="397"/>
        <w:jc w:val="both"/>
      </w:pPr>
      <w:r>
        <w:rPr>
          <w:rFonts w:ascii="Times New Roman" w:hAnsi="Times New Roman" w:eastAsia="Times New Roman"/>
          <w:b w:val="0"/>
          <w:i w:val="0"/>
          <w:color w:val="20252B"/>
          <w:sz w:val="20"/>
        </w:rPr>
        <w:t>Вода, воздух и энергия транспортом не перевозятся. Они подаются трубопроводами и кабелями (п. 12.6, 12.7), что снимает с транспортной системы основную часть тоннажа: 200 000 м³ воды в сутки соответствовали бы двумстам составам, если бы её возили.</w:t>
      </w:r>
    </w:p>
    <w:p>
      <w:pPr>
        <w:pageBreakBefore w:val="0"/>
        <w:spacing w:after="80" w:line="269" w:lineRule="auto"/>
        <w:ind w:firstLine="397"/>
        <w:jc w:val="both"/>
      </w:pPr>
      <w:r>
        <w:rPr>
          <w:rFonts w:ascii="Times New Roman" w:hAnsi="Times New Roman"/>
        </w:rPr>
        <w:t>Сообщение с внешним миром идёт через один из двух коридоров — А или Б — в переднем торцевом куполе (п. 4.7.4, Б.17) и является единственным входом в цилиндр; каждый коридор имеет отдельные каналы вверх и вниз, а внутренняя сеть примыкает к их двум жилым вестибюлям пересадочными узлами.</w:t>
      </w:r>
    </w:p>
    <w:p>
      <w:pPr>
        <w:pStyle w:val="Heading2"/>
        <w:keepNext/>
        <w:pageBreakBefore w:val="0"/>
        <w:spacing w:after="40"/>
        <w:jc w:val="left"/>
      </w:pPr>
      <w:r>
        <w:rPr>
          <w:rFonts w:ascii="Times New Roman" w:hAnsi="Times New Roman" w:eastAsia="Times New Roman"/>
          <w:b/>
          <w:i w:val="0"/>
          <w:color w:val="2F5D83"/>
          <w:sz w:val="25"/>
        </w:rPr>
        <w:t>12.5. Урбанистика: деление обитаемой поверхности</w:t>
      </w:r>
    </w:p>
    <w:p>
      <w:pPr>
        <w:pageBreakBefore w:val="0"/>
        <w:spacing w:after="80" w:line="269" w:lineRule="auto"/>
        <w:ind w:firstLine="397"/>
        <w:jc w:val="both"/>
      </w:pPr>
      <w:r>
        <w:rPr>
          <w:rFonts w:ascii="Times New Roman" w:hAnsi="Times New Roman" w:eastAsia="Times New Roman"/>
          <w:b w:val="0"/>
          <w:i w:val="0"/>
          <w:color w:val="20252B"/>
          <w:sz w:val="20"/>
        </w:rPr>
        <w:t>Поверхность 1 257 км² на цилиндр распределяется по назначению следующим образом: сельскохозяйственные угодья 691 км² (55 %), застройка 189 км² (15 %), лес и парки 251 км² (20 %), водоёмы и технические зоны 126 км² (10 %). На одного жителя приходится 251 м² зелёных насаждений при норме Всемирной организации здравоохранения 9 м² и 189 м² застроенной площади.</w:t>
      </w:r>
    </w:p>
    <w:p>
      <w:pPr>
        <w:pageBreakBefore w:val="0"/>
        <w:spacing w:after="80" w:line="269" w:lineRule="auto"/>
        <w:ind w:firstLine="397"/>
        <w:jc w:val="both"/>
      </w:pPr>
      <w:r>
        <w:rPr>
          <w:rFonts w:ascii="Times New Roman" w:hAnsi="Times New Roman" w:eastAsia="Times New Roman"/>
          <w:b w:val="0"/>
          <w:i w:val="0"/>
          <w:color w:val="20252B"/>
          <w:sz w:val="20"/>
        </w:rPr>
        <w:t>Расселение принимается не сплошным, а очаговым: на каждый цилиндр предусматривается 12 поселений по 40–45 тысяч жителей. Для генеральной карты вводится сетка из трёх продольных полос и четырёх азимутальных секторов. Предварительные координаты продольных полос — x = 5, 13 и 20 км от начала цилиндрической части; азимуты узлов — 0°, 90°, 180° и 270°. Все узлы находятся в климатических зонах I–II. На один узел приходится ориентировочно 15,75 км² застройки, 57,6 км² сельхозугодий, 20,9 км² леса и парков и 10,5 км² водоёмов и технических зон. Внутренняя сеть включает четыре продольные магистрали, девять кольцевых линий, грузовой обход и подземные инженерные коллекторы.</w:t>
      </w:r>
    </w:p>
    <w:p>
      <w:pPr>
        <w:pageBreakBefore w:val="0"/>
        <w:spacing w:after="80" w:line="269" w:lineRule="auto"/>
        <w:ind w:firstLine="397"/>
        <w:jc w:val="both"/>
      </w:pPr>
      <w:r>
        <w:rPr>
          <w:rFonts w:ascii="Times New Roman" w:hAnsi="Times New Roman" w:eastAsia="Times New Roman"/>
          <w:b w:val="0"/>
          <w:i w:val="0"/>
          <w:color w:val="20252B"/>
          <w:sz w:val="20"/>
        </w:rPr>
        <w:t>Этажность ограничивается пятью этажами. Ограничение не эстетическое: тяжесть убывает с высотой обратно пропорционально радиусу, и на высоте 100 м вес меньше на 2 %, что незаметно, но на высоте 500 м — уже на 10 %, что создаёт разницу условий между этажами одного здания. Кроме того, высокая застройка перекрывает свет от осевой балки соседним кварталам, поскольку источник расположен не в зените, а вдоль всей оси.</w:t>
      </w:r>
    </w:p>
    <w:p>
      <w:pPr>
        <w:pageBreakBefore w:val="0"/>
        <w:spacing w:after="80" w:line="269" w:lineRule="auto"/>
        <w:ind w:firstLine="397"/>
        <w:jc w:val="both"/>
      </w:pPr>
      <w:r>
        <w:rPr>
          <w:rFonts w:ascii="Times New Roman" w:hAnsi="Times New Roman" w:eastAsia="Times New Roman"/>
          <w:b w:val="0"/>
          <w:i w:val="0"/>
          <w:color w:val="20252B"/>
          <w:sz w:val="20"/>
        </w:rPr>
        <w:t>Вид вверх. Особенность станции в том, что противоположная сторона цилиндра видна над головой на расстоянии 10 км. Это обстоятельство не создаёт технических трудностей, но является главной особенностью среды и учитывается в планировке: поселения размещаются со смещением по окружности так, чтобы над жилыми кварталами оказывались поля и леса, а не окна соседей.</w:t>
      </w:r>
    </w:p>
    <w:p>
      <w:pPr>
        <w:pStyle w:val="Heading3"/>
        <w:keepNext/>
        <w:pageBreakBefore w:val="0"/>
        <w:spacing w:after="40"/>
        <w:jc w:val="left"/>
      </w:pPr>
      <w:r>
        <w:rPr>
          <w:rFonts w:ascii="Times New Roman" w:hAnsi="Times New Roman" w:eastAsia="Times New Roman"/>
          <w:b/>
          <w:i w:val="0"/>
          <w:color w:val="B56B3C"/>
          <w:sz w:val="22"/>
        </w:rPr>
        <w:t>12.5.1. Координатная база внутренней карты поселений</w:t>
      </w:r>
    </w:p>
    <w:p>
      <w:pPr>
        <w:pageBreakBefore w:val="0"/>
        <w:spacing w:after="80" w:line="269" w:lineRule="auto"/>
        <w:ind w:firstLine="397"/>
        <w:jc w:val="both"/>
      </w:pPr>
      <w:r>
        <w:rPr>
          <w:rFonts w:ascii="Times New Roman" w:hAnsi="Times New Roman" w:eastAsia="Times New Roman"/>
          <w:b w:val="0"/>
          <w:i w:val="0"/>
          <w:color w:val="20252B"/>
          <w:sz w:val="20"/>
        </w:rPr>
        <w:t>Для первого генерального плана каждый цилиндр делится на 12 городских узлов: три продольные полосы x = 5, 13 и 20 км и четыре азимутальных сектора φ = 0°, 90°, 180° и 270°. Узлы соединяются четырьмя продольными магистралями и девятью кольцевыми линиями с шагом около 5 км по оси. Внешний вход от коридоров А и Б соединяется с двумя передними пересадочными узлами; грузовой поток имеет отдельный обход.</w:t>
      </w:r>
    </w:p>
    <w:p>
      <w:pPr>
        <w:pageBreakBefore w:val="0"/>
        <w:spacing w:after="80" w:line="269" w:lineRule="auto"/>
        <w:ind w:firstLine="397"/>
        <w:jc w:val="both"/>
      </w:pPr>
      <w:r>
        <w:rPr>
          <w:rFonts w:ascii="Times New Roman" w:hAnsi="Times New Roman" w:eastAsia="Times New Roman"/>
          <w:b w:val="0"/>
          <w:i w:val="0"/>
          <w:color w:val="20252B"/>
          <w:sz w:val="20"/>
        </w:rPr>
        <w:t>Площадь одного узла в первом приближении: 15,75 км² застройки, 57,6 км² сельхозугодий, 20,9 км² леса и парков и 10,5 км² водоёмов и технических зон. Это зонировочная карта, а не окончательная планировка отдельных зданий; точная трассировка сетей и границ кварталов остаётся следующим этапом.</w:t>
      </w:r>
    </w:p>
    <w:p>
      <w:pPr>
        <w:pStyle w:val="Heading2"/>
        <w:keepNext/>
        <w:pageBreakBefore w:val="0"/>
        <w:spacing w:after="40"/>
        <w:jc w:val="left"/>
      </w:pPr>
      <w:r>
        <w:rPr>
          <w:rFonts w:ascii="Times New Roman" w:hAnsi="Times New Roman" w:eastAsia="Times New Roman"/>
          <w:b/>
          <w:i w:val="0"/>
          <w:color w:val="2F5D83"/>
          <w:sz w:val="25"/>
        </w:rPr>
        <w:t>12.6. Водоснабжение и канализация</w:t>
      </w:r>
    </w:p>
    <w:p>
      <w:pPr>
        <w:pageBreakBefore w:val="0"/>
        <w:spacing w:after="80" w:line="269" w:lineRule="auto"/>
        <w:ind w:firstLine="397"/>
        <w:jc w:val="both"/>
      </w:pPr>
      <w:r>
        <w:rPr>
          <w:rFonts w:ascii="Times New Roman" w:hAnsi="Times New Roman" w:eastAsia="Times New Roman"/>
          <w:b w:val="0"/>
          <w:i w:val="0"/>
          <w:color w:val="20252B"/>
          <w:sz w:val="20"/>
        </w:rPr>
        <w:t>Расход воды 200 000 м³ в сутки на станцию (200 литров на человека) соответствует секундному расходу 2,31 м³/с. Магистральный водовод диаметром 1,5 м пропускает этот расход при скорости течения 1,31 м/с, отвечающей обычной практике. Водоводы прокладываются в кольцевых коллекторах на глубине 3 м под поверхностью почвы, вдоль трасс кольцевых линий.</w:t>
      </w:r>
    </w:p>
    <w:p>
      <w:pPr>
        <w:pageBreakBefore w:val="0"/>
        <w:spacing w:after="80" w:line="269" w:lineRule="auto"/>
        <w:ind w:firstLine="397"/>
        <w:jc w:val="both"/>
      </w:pPr>
      <w:r>
        <w:rPr>
          <w:rFonts w:ascii="Times New Roman" w:hAnsi="Times New Roman" w:eastAsia="Times New Roman"/>
          <w:b w:val="0"/>
          <w:i w:val="0"/>
          <w:color w:val="20252B"/>
          <w:sz w:val="20"/>
        </w:rPr>
        <w:t>Напор создаётся не башнями, а насосами: водонапорная башня в цилиндре бессмысленна, поскольку подъём к оси означает уменьшение тяжести и, следовательно, уменьшение давления столба, а не его рост. Расчётное давление в сети 4 бар поддерживается насосными станциями, входящими в статью 96 ГВт энергобаланса (п. 4.15). Стоки 73,05 млн м³ в год поступают на биологическую очистку и возвращаются в оборот с глубиной регенерации 98 % (п. 11.8).</w:t>
      </w:r>
    </w:p>
    <w:p>
      <w:pPr>
        <w:pageBreakBefore w:val="0"/>
        <w:spacing w:after="80" w:line="269" w:lineRule="auto"/>
        <w:ind w:firstLine="397"/>
        <w:jc w:val="both"/>
      </w:pPr>
      <w:r>
        <w:rPr>
          <w:rFonts w:ascii="Times New Roman" w:hAnsi="Times New Roman" w:eastAsia="Times New Roman"/>
          <w:b w:val="0"/>
          <w:i w:val="0"/>
          <w:color w:val="20252B"/>
          <w:sz w:val="20"/>
        </w:rPr>
        <w:t>Открытые водоёмы общей площадью 0,162 км² на цилиндр (п. Б.13) выполняют роль не резервуаров, а элементов среды и участков биологической очистки; их дно не заглубляется в силовой пояс по принятой компоновке водоёмов.</w:t>
      </w:r>
    </w:p>
    <w:p>
      <w:pPr>
        <w:pStyle w:val="Heading2"/>
        <w:keepNext/>
        <w:pageBreakBefore w:val="0"/>
        <w:spacing w:after="40"/>
        <w:jc w:val="left"/>
      </w:pPr>
      <w:r>
        <w:rPr>
          <w:rFonts w:ascii="Times New Roman" w:hAnsi="Times New Roman" w:eastAsia="Times New Roman"/>
          <w:b/>
          <w:i w:val="0"/>
          <w:color w:val="2F5D83"/>
          <w:sz w:val="25"/>
        </w:rPr>
        <w:t>12.7. Электроснабжение внутри цилиндра</w:t>
      </w:r>
    </w:p>
    <w:p>
      <w:pPr>
        <w:pageBreakBefore w:val="0"/>
        <w:spacing w:after="80" w:line="269" w:lineRule="auto"/>
        <w:ind w:firstLine="397"/>
        <w:jc w:val="both"/>
      </w:pPr>
      <w:r>
        <w:rPr>
          <w:rFonts w:ascii="Times New Roman" w:hAnsi="Times New Roman" w:eastAsia="Times New Roman"/>
          <w:b w:val="0"/>
          <w:i w:val="0"/>
          <w:color w:val="20252B"/>
          <w:sz w:val="20"/>
        </w:rPr>
        <w:t>Бытовая, транспортная и промышленная нагрузка составляет 6 ГВт на станцию, то есть 3 ГВт на цилиндр, при полной станционной мощности 721 ГВт (п. 4.15). Основную мощность потребляют осевые светотепловые балки и тепловые насосы, то есть системы самого сооружения, а не его жители.</w:t>
      </w:r>
    </w:p>
    <w:p>
      <w:pPr>
        <w:pageBreakBefore w:val="0"/>
        <w:spacing w:after="80" w:line="269" w:lineRule="auto"/>
        <w:ind w:firstLine="397"/>
        <w:jc w:val="both"/>
      </w:pPr>
      <w:r>
        <w:rPr>
          <w:rFonts w:ascii="Times New Roman" w:hAnsi="Times New Roman" w:eastAsia="Times New Roman"/>
          <w:b w:val="0"/>
          <w:i w:val="0"/>
          <w:color w:val="20252B"/>
          <w:sz w:val="20"/>
        </w:rPr>
        <w:t>Передача внутрь цилиндра ведётся от реакторных установок на неподвижной задней раме по двум независимым силовым вводам к неподвижному статору подшипникового узла. Через герметичный вращающийся токопереход или бесконтактную индуктивную муфту питание поступает на внутренние распределительные шины цилиндра; отдельные вводы питают два независимых магнитных контура, мотор-генераторы, датчики, насосы гермоперехода, четыре транспортных канала и их аварийные системы. Предварительная квота энергобаланса на подшипниковые узлы, приводы и силовую электронику — 2 ГВт; источник — реакторная шина, а не солнечные крылья.</w:t>
      </w:r>
    </w:p>
    <w:p>
      <w:pPr>
        <w:pageBreakBefore w:val="0"/>
        <w:spacing w:after="80" w:line="269" w:lineRule="auto"/>
        <w:ind w:firstLine="397"/>
        <w:jc w:val="both"/>
      </w:pPr>
      <w:r>
        <w:rPr>
          <w:rFonts w:ascii="Times New Roman" w:hAnsi="Times New Roman" w:eastAsia="Times New Roman"/>
          <w:b w:val="0"/>
          <w:i w:val="0"/>
          <w:color w:val="20252B"/>
          <w:sz w:val="20"/>
        </w:rPr>
        <w:t>Резервирование. Полное обесточивание цилиндра означает прекращение освещения и вентиляции, поэтому питание выполняется по двум независимым вводам от разных реакторов, а критические потребители — жизнеобеспечение, шахтный транспорт, насосы — получают третий ввод от аккумуляторных подстанций с запасом на 6 часов. Отметим, что запас по кислороду в объёме цилиндра измеряется годами (п. 4.4), поэтому остановка вентиляции опасна не удушьем, а нарушением температурного расслоения.</w:t>
      </w:r>
    </w:p>
    <w:p>
      <w:pPr>
        <w:pStyle w:val="Heading2"/>
        <w:keepNext/>
        <w:pageBreakBefore w:val="0"/>
        <w:spacing w:after="40"/>
        <w:jc w:val="left"/>
      </w:pPr>
      <w:r>
        <w:rPr>
          <w:rFonts w:ascii="Times New Roman" w:hAnsi="Times New Roman" w:eastAsia="Times New Roman"/>
          <w:b/>
          <w:i w:val="0"/>
          <w:color w:val="2F5D83"/>
          <w:sz w:val="25"/>
        </w:rPr>
        <w:t>12.8. Экология замкнутого объёма</w:t>
      </w:r>
    </w:p>
    <w:p>
      <w:pPr>
        <w:pageBreakBefore w:val="0"/>
        <w:spacing w:after="80" w:line="269" w:lineRule="auto"/>
        <w:ind w:firstLine="397"/>
        <w:jc w:val="both"/>
      </w:pPr>
      <w:r>
        <w:rPr>
          <w:rFonts w:ascii="Times New Roman" w:hAnsi="Times New Roman" w:eastAsia="Times New Roman"/>
          <w:b w:val="0"/>
          <w:i w:val="0"/>
          <w:color w:val="20252B"/>
          <w:sz w:val="20"/>
        </w:rPr>
        <w:t>Понятие «загрязнение» в замкнутой системе имеет иной смысл, чем на Земле: выбросить вещество некуда, любой выброс остаётся внутри объёма 3 613 км³ и рано или поздно возвращается к людям с воздухом, водой или пищей. Отсюда три запрета, вносимые в проектные решения как безусловные.</w:t>
      </w:r>
    </w:p>
    <w:p>
      <w:pPr>
        <w:pageBreakBefore w:val="0"/>
        <w:spacing w:after="80" w:line="269" w:lineRule="auto"/>
        <w:ind w:firstLine="397"/>
        <w:jc w:val="both"/>
      </w:pPr>
      <w:r>
        <w:rPr>
          <w:rFonts w:ascii="Times New Roman" w:hAnsi="Times New Roman" w:eastAsia="Times New Roman"/>
          <w:b w:val="0"/>
          <w:i w:val="0"/>
          <w:color w:val="20252B"/>
          <w:sz w:val="20"/>
        </w:rPr>
        <w:t>Первый: запрет на процессы горения в обитаемом объёме, кроме управляемого сжигания отходов в замкнутых установках с улавливанием продуктов (п. 11.2). Второй: запрет на применение веществ, не имеющих пути возврата в цикл, — стойких органических соединений, тяжёлых металлов в рассеиваемой форме, фторорганики. Третий: запрет на сброс чего бы то ни было за борт, поскольку каждый килограмм вещества доставлен с астероидов ценой основных затрат программы.</w:t>
      </w:r>
    </w:p>
    <w:p>
      <w:pPr>
        <w:pageBreakBefore w:val="0"/>
        <w:spacing w:after="80" w:line="269" w:lineRule="auto"/>
        <w:ind w:firstLine="397"/>
        <w:jc w:val="both"/>
      </w:pPr>
      <w:r>
        <w:rPr>
          <w:rFonts w:ascii="Times New Roman" w:hAnsi="Times New Roman" w:eastAsia="Times New Roman"/>
          <w:b w:val="0"/>
          <w:i w:val="0"/>
          <w:color w:val="20252B"/>
          <w:sz w:val="20"/>
        </w:rPr>
        <w:t>Контроль состава атмосферы ведётся непрерывно; при объёме 3 613 км³ и массе атмосферы 3,77 млрд т любое локальное загрязнение разбавляется до безопасных концентраций, но и удаляется медленно — характерное время перемешивания составляет несколько суток, время очистки через систему регенерации — месяцы. Поэтому упор делается на недопущение, а не на очистку.</w:t>
      </w:r>
    </w:p>
    <w:p>
      <w:pPr>
        <w:pageBreakBefore w:val="0"/>
        <w:spacing w:after="80" w:line="269" w:lineRule="auto"/>
        <w:ind w:firstLine="397"/>
        <w:jc w:val="both"/>
      </w:pPr>
      <w:r>
        <w:rPr>
          <w:rFonts w:ascii="Times New Roman" w:hAnsi="Times New Roman" w:eastAsia="Times New Roman"/>
          <w:b w:val="0"/>
          <w:i w:val="0"/>
          <w:color w:val="20252B"/>
          <w:sz w:val="20"/>
        </w:rPr>
        <w:t>Биологическое разнообразие поддерживается преднамеренно: почвенная биота, опылители, естественные враги вредителей вносятся и учитываются наравне с посевами (п. 7.2, 9.4). Видовой состав и численность почвенной биоты ещё не рассчитаны; это открытая задача.</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12. INTERNAL ENVIRONMENT: TRANSPORT, URBANISM, UTILITY NETWORKS</w:t>
      </w:r>
    </w:p>
    <w:p>
      <w:pPr>
        <w:pageBreakBefore w:val="0"/>
        <w:spacing w:after="80" w:line="269" w:lineRule="auto"/>
        <w:ind w:firstLine="397"/>
        <w:jc w:val="both"/>
      </w:pPr>
      <w:r>
        <w:rPr>
          <w:rFonts w:ascii="Times New Roman" w:hAnsi="Times New Roman" w:eastAsia="Times New Roman"/>
          <w:b w:val="0"/>
          <w:i w:val="0"/>
          <w:color w:val="20252B"/>
          <w:sz w:val="20"/>
        </w:rPr>
        <w:t>Chapters 4–11 describe the station as a structure and as a closed life support system. This chapter describes it as a place where people live: how people and goods move along the inhabited surface, how this surface is divided between the city, the field and the forest, how networks are laid. Initial data: lateral surface 1,257 km² per cylinder, population 500,000 people per cylinder, average density 398 people per km² - four times lower than the density of the Moscow region and ten times lower than the density of Moscow. The station is not crowded; Another threat is distance.</w:t>
      </w:r>
    </w:p>
    <w:p>
      <w:pPr>
        <w:pStyle w:val="Heading2"/>
        <w:keepNext/>
        <w:pageBreakBefore w:val="0"/>
        <w:spacing w:after="40"/>
        <w:jc w:val="left"/>
      </w:pPr>
      <w:r>
        <w:rPr>
          <w:rFonts w:ascii="Times New Roman" w:hAnsi="Times New Roman" w:eastAsia="Times New Roman"/>
          <w:b w:val="0"/>
          <w:i w:val="0"/>
          <w:color w:val="20252B"/>
          <w:sz w:val="20"/>
        </w:rPr>
        <w:t>12.1. Geometry of movements</w:t>
      </w:r>
    </w:p>
    <w:p>
      <w:pPr>
        <w:pageBreakBefore w:val="0"/>
        <w:spacing w:after="80" w:line="269" w:lineRule="auto"/>
        <w:ind w:firstLine="397"/>
        <w:jc w:val="both"/>
      </w:pPr>
      <w:r>
        <w:rPr>
          <w:rFonts w:ascii="Times New Roman" w:hAnsi="Times New Roman" w:eastAsia="Times New Roman"/>
          <w:b w:val="0"/>
          <w:i w:val="0"/>
          <w:color w:val="20252B"/>
          <w:sz w:val="20"/>
        </w:rPr>
        <w:t>The habitable surface is a rectangle 31.42 × 40 km, rolled into a cylinder along the short side. The greatest distance between two points is 43.0 km diagonally, the greatest longitudinal is 40 km, the greatest transverse is 15.71 km, since you can always go in both directions along the circle. For comparison: the diameter of Moscow within the Moscow Ring Road is about 40 km. The task of transport, therefore, is the task of a large city, not a village.</w:t>
      </w:r>
    </w:p>
    <w:p>
      <w:pPr>
        <w:pageBreakBefore w:val="0"/>
        <w:spacing w:after="80" w:line="269" w:lineRule="auto"/>
        <w:ind w:firstLine="397"/>
        <w:jc w:val="both"/>
      </w:pPr>
      <w:r>
        <w:rPr>
          <w:rFonts w:ascii="Times New Roman" w:hAnsi="Times New Roman" w:eastAsia="Times New Roman"/>
          <w:b w:val="0"/>
          <w:i w:val="0"/>
          <w:color w:val="20252B"/>
          <w:sz w:val="20"/>
        </w:rPr>
        <w:t>A significant difference from the Earth is created by rotation. It divides all directions into two unequal classes, and this determines the entire scheme of communication.</w:t>
      </w:r>
    </w:p>
    <w:p>
      <w:pPr>
        <w:pStyle w:val="Heading2"/>
        <w:keepNext/>
        <w:pageBreakBefore w:val="0"/>
        <w:spacing w:after="40"/>
        <w:jc w:val="left"/>
      </w:pPr>
      <w:r>
        <w:rPr>
          <w:rFonts w:ascii="Times New Roman" w:hAnsi="Times New Roman" w:eastAsia="Times New Roman"/>
          <w:b w:val="0"/>
          <w:i w:val="0"/>
          <w:color w:val="20252B"/>
          <w:sz w:val="20"/>
        </w:rPr>
        <w:t>12.2. The influence of rotation on movement: why directions are unequal</w:t>
      </w:r>
    </w:p>
    <w:p>
      <w:pPr>
        <w:pageBreakBefore w:val="0"/>
        <w:spacing w:after="80" w:line="269" w:lineRule="auto"/>
        <w:ind w:firstLine="397"/>
        <w:jc w:val="both"/>
      </w:pPr>
      <w:r>
        <w:rPr>
          <w:rFonts w:ascii="Times New Roman" w:hAnsi="Times New Roman" w:eastAsia="Times New Roman"/>
          <w:b w:val="0"/>
          <w:i w:val="0"/>
          <w:color w:val="20252B"/>
          <w:sz w:val="20"/>
        </w:rPr>
        <w:t>Movement along the cylinder axis. The speed of such movement is parallel to the angular velocity vector, the vector product vanishes, and Coriolis acceleration is completely absent at any speed of movement. The longitudinal direction is free from rotational effects, and you can move along it as quickly as you like without any sensation other than normal acceleration.</w:t>
      </w:r>
    </w:p>
    <w:p>
      <w:pPr>
        <w:pageBreakBefore w:val="0"/>
        <w:spacing w:after="80" w:line="269" w:lineRule="auto"/>
        <w:ind w:firstLine="397"/>
        <w:jc w:val="both"/>
      </w:pPr>
      <w:r>
        <w:rPr>
          <w:rFonts w:ascii="Times New Roman" w:hAnsi="Times New Roman" w:eastAsia="Times New Roman"/>
          <w:b w:val="0"/>
          <w:i w:val="0"/>
          <w:color w:val="20252B"/>
          <w:sz w:val="20"/>
        </w:rPr>
        <w:t>Circular movement. Here the speed of the train is added to the speed of rotation of the rim, and the weight of the passenger changes as the square of the sum. Calculation using the formula (ωR ± v)²/R gives: at 60 km/h in the direction of rotation the weight increases by 15.6%, against rotation it drops by 14.5%; at 160 km/h this is already +44.1% and −36.1%; at 300 km/h - +89.4% and -61.1%. A train running counter-rotating at 300 km/h takes away three-fifths of its passengers' weight; an oncoming train almost doubles it. Neither one nor the other is acceptable in passenger traffic.</w:t>
      </w:r>
    </w:p>
    <w:p>
      <w:pPr>
        <w:pageBreakBefore w:val="0"/>
        <w:spacing w:after="80" w:line="269" w:lineRule="auto"/>
        <w:ind w:firstLine="397"/>
        <w:jc w:val="both"/>
      </w:pPr>
      <w:r>
        <w:rPr>
          <w:rFonts w:ascii="Times New Roman" w:hAnsi="Times New Roman" w:eastAsia="Times New Roman"/>
          <w:b w:val="0"/>
          <w:i w:val="0"/>
          <w:color w:val="20252B"/>
          <w:sz w:val="20"/>
        </w:rPr>
        <w:t>Hence the design limitation: with a tolerance for weight change of ±10%, the maximum speed of the circular motion is 39 km/h, with a tolerance of ±5% - 20 km/h. The accepted limit is 40 km/h for ring lines. For this reason, longitudinal lines have no restrictions.</w:t>
      </w:r>
    </w:p>
    <w:p>
      <w:pPr>
        <w:pStyle w:val="Heading2"/>
        <w:keepNext/>
        <w:pageBreakBefore w:val="0"/>
        <w:spacing w:after="40"/>
        <w:jc w:val="left"/>
      </w:pPr>
      <w:r>
        <w:rPr>
          <w:rFonts w:ascii="Times New Roman" w:hAnsi="Times New Roman" w:eastAsia="Times New Roman"/>
          <w:b w:val="0"/>
          <w:i w:val="0"/>
          <w:color w:val="20252B"/>
          <w:sz w:val="20"/>
        </w:rPr>
        <w:t>12.3. Passenger service diagram</w:t>
      </w:r>
    </w:p>
    <w:p>
      <w:pPr>
        <w:pageBreakBefore w:val="0"/>
        <w:spacing w:after="80" w:line="269" w:lineRule="auto"/>
        <w:ind w:firstLine="397"/>
        <w:jc w:val="both"/>
      </w:pPr>
      <w:r>
        <w:rPr>
          <w:rFonts w:ascii="Times New Roman" w:hAnsi="Times New Roman" w:eastAsia="Times New Roman"/>
          <w:b w:val="0"/>
          <w:i w:val="0"/>
          <w:color w:val="20252B"/>
          <w:sz w:val="20"/>
        </w:rPr>
        <w:t>From the above, an asymmetric network follows. Fast communication is built along the axis, slow communication is built along the circumference, and any long trip consists of a short circular delivery and a long longitudinal section.</w:t>
      </w:r>
    </w:p>
    <w:p>
      <w:pPr>
        <w:pageBreakBefore w:val="0"/>
        <w:spacing w:after="80" w:line="269" w:lineRule="auto"/>
        <w:ind w:firstLine="397"/>
        <w:jc w:val="both"/>
      </w:pPr>
      <w:r>
        <w:rPr>
          <w:rFonts w:ascii="Times New Roman" w:hAnsi="Times New Roman" w:eastAsia="Times New Roman"/>
          <w:b w:val="0"/>
          <w:i w:val="0"/>
          <w:color w:val="20252B"/>
          <w:sz w:val="20"/>
        </w:rPr>
        <w:t>Longitudinal highways: four lines located in a circle with a pitch of 7.85 km, each 40 km long, communication speed 160 km/h, end-to-end time 15 minutes. Magnetic levitation rolling stock is not used in a partially evacuated tunnel: vacuum inside the habitable volume is impractical; conventional rail transport with electric traction is used.</w:t>
      </w:r>
    </w:p>
    <w:p>
      <w:pPr>
        <w:pageBreakBefore w:val="0"/>
        <w:spacing w:after="80" w:line="269" w:lineRule="auto"/>
        <w:ind w:firstLine="397"/>
        <w:jc w:val="both"/>
      </w:pPr>
      <w:r>
        <w:rPr>
          <w:rFonts w:ascii="Times New Roman" w:hAnsi="Times New Roman" w:eastAsia="Times New Roman"/>
          <w:b w:val="0"/>
          <w:i w:val="0"/>
          <w:color w:val="20252B"/>
          <w:sz w:val="20"/>
        </w:rPr>
        <w:t>Circular lines: nine lines with a step of 5 km along the axis, each 31.42 km long, speed 40 km/h, full revolution 47 minutes. They also serve as city trams within settlements.</w:t>
      </w:r>
    </w:p>
    <w:p>
      <w:pPr>
        <w:pageBreakBefore w:val="0"/>
        <w:spacing w:after="80" w:line="269" w:lineRule="auto"/>
        <w:ind w:firstLine="397"/>
        <w:jc w:val="both"/>
      </w:pPr>
      <w:r>
        <w:rPr>
          <w:rFonts w:ascii="Times New Roman" w:hAnsi="Times New Roman" w:eastAsia="Times New Roman"/>
          <w:b w:val="0"/>
          <w:i w:val="0"/>
          <w:color w:val="20252B"/>
          <w:sz w:val="20"/>
        </w:rPr>
        <w:t>The total length of the network is 443 km per cylinder with stations every 2 km, that is, 221 stations. Calculation of carrying capacity: with a mobility of 2.5 trips per person per day, the station provides 1.25 million trips per day per cylinder, during rush hour 125 thousand trips. With a line carrying capacity of 60,000 people per hour in one direction, two out of four highways are sufficient for the peak; four were taken with a double margin and to reduce approaches.</w:t>
      </w:r>
    </w:p>
    <w:p>
      <w:pPr>
        <w:pageBreakBefore w:val="0"/>
        <w:spacing w:after="80" w:line="269" w:lineRule="auto"/>
        <w:ind w:firstLine="397"/>
        <w:jc w:val="both"/>
      </w:pPr>
      <w:r>
        <w:rPr>
          <w:rFonts w:ascii="Times New Roman" w:hAnsi="Times New Roman" w:eastAsia="Times New Roman"/>
          <w:b w:val="0"/>
          <w:i w:val="0"/>
          <w:color w:val="20252B"/>
          <w:sz w:val="20"/>
        </w:rPr>
        <w:t>Individual transport. A car with an internal combustion engine in a closed atmosphere is certainly excluded: a million cars would emit combustion products into a volume of 3,613 km³, which would have to be captured by the same system that maintains the composition of the air. Electric vehicles, bicycles and walking are permitted; with a density of 398 people per km² and station spacing of 2 km, the need for personal transport is small.</w:t>
      </w:r>
    </w:p>
    <w:p>
      <w:pPr>
        <w:pStyle w:val="Heading2"/>
        <w:keepNext/>
        <w:pageBreakBefore w:val="0"/>
        <w:spacing w:after="40"/>
        <w:jc w:val="left"/>
      </w:pPr>
      <w:r>
        <w:rPr>
          <w:rFonts w:ascii="Times New Roman" w:hAnsi="Times New Roman" w:eastAsia="Times New Roman"/>
          <w:b w:val="0"/>
          <w:i w:val="0"/>
          <w:color w:val="20252B"/>
          <w:sz w:val="20"/>
        </w:rPr>
        <w:t>12.4. Freight traffic</w:t>
      </w:r>
    </w:p>
    <w:p>
      <w:pPr>
        <w:pageBreakBefore w:val="0"/>
        <w:spacing w:after="80" w:line="269" w:lineRule="auto"/>
        <w:ind w:firstLine="397"/>
        <w:jc w:val="both"/>
      </w:pPr>
      <w:r>
        <w:rPr>
          <w:rFonts w:ascii="Times New Roman" w:hAnsi="Times New Roman" w:eastAsia="Times New Roman"/>
          <w:b w:val="0"/>
          <w:i w:val="0"/>
          <w:color w:val="20252B"/>
          <w:sz w:val="20"/>
        </w:rPr>
        <w:t>Internal cargo flow consists of food from fields to settlements (1,800 tons per day per station), waste from settlements to processing centers (1,500 tons per day) and industrial transportation. In total, about 3,300 tons per day, that is, 138 tons per hour - a value corresponding to three or four trains of 1,000 tons each. Freight traffic is carried out at night along the same longitudinal highways with passing sidings; No separate freight lines are required.</w:t>
      </w:r>
    </w:p>
    <w:p>
      <w:pPr>
        <w:pageBreakBefore w:val="0"/>
        <w:spacing w:after="80" w:line="269" w:lineRule="auto"/>
        <w:ind w:firstLine="397"/>
        <w:jc w:val="both"/>
      </w:pPr>
      <w:r>
        <w:rPr>
          <w:rFonts w:ascii="Times New Roman" w:hAnsi="Times New Roman" w:eastAsia="Times New Roman"/>
          <w:b w:val="0"/>
          <w:i w:val="0"/>
          <w:color w:val="20252B"/>
          <w:sz w:val="20"/>
        </w:rPr>
        <w:t>Water, air and energy are not transported. They are supplied by pipelines and cables (clauses 12.6, 12.7), which removes the bulk of the tonnage from the transport system: 200,000 m³ of water per day would correspond to two hundred trains if it were transported.</w:t>
      </w:r>
    </w:p>
    <w:p>
      <w:pPr>
        <w:pageBreakBefore w:val="0"/>
        <w:spacing w:after="80" w:line="269" w:lineRule="auto"/>
        <w:ind w:firstLine="397"/>
        <w:jc w:val="both"/>
      </w:pPr>
      <w:r>
        <w:rPr>
          <w:rFonts w:ascii="Times New Roman" w:hAnsi="Times New Roman"/>
        </w:rPr>
        <w:t>Communication with the outside world goes through one of two corridors - A or B - in the front end dome (section 4.7.4, B.17) and is the only entrance to the cylinder; each corridor has separate up and down channels, and the internal network is adjacent to their two residential lobbies by transfer nodes.</w:t>
      </w:r>
    </w:p>
    <w:p>
      <w:pPr>
        <w:pStyle w:val="Heading2"/>
        <w:keepNext/>
        <w:pageBreakBefore w:val="0"/>
        <w:spacing w:after="40"/>
        <w:jc w:val="left"/>
      </w:pPr>
      <w:r>
        <w:rPr>
          <w:rFonts w:ascii="Times New Roman" w:hAnsi="Times New Roman" w:eastAsia="Times New Roman"/>
          <w:b w:val="0"/>
          <w:i w:val="0"/>
          <w:color w:val="20252B"/>
          <w:sz w:val="20"/>
        </w:rPr>
        <w:t>12.5. Urbanism: division of habitable surface</w:t>
      </w:r>
    </w:p>
    <w:p>
      <w:pPr>
        <w:pageBreakBefore w:val="0"/>
        <w:spacing w:after="80" w:line="269" w:lineRule="auto"/>
        <w:ind w:firstLine="397"/>
        <w:jc w:val="both"/>
      </w:pPr>
      <w:r>
        <w:rPr>
          <w:rFonts w:ascii="Times New Roman" w:hAnsi="Times New Roman" w:eastAsia="Times New Roman"/>
          <w:b w:val="0"/>
          <w:i w:val="0"/>
          <w:color w:val="20252B"/>
          <w:sz w:val="20"/>
        </w:rPr>
        <w:t>The surface area of 1,257 km² per cylinder is distributed according to purpose as follows: agricultural land 691 km² (55%), buildings 189 km² (15%), forests and parks 251 km² (20%), reservoirs and technical areas 126 km² (10%). There are 251 m² of green space per inhabitant, compared to the World Health Organization standard of 9 m² and 189 m² of built-up area.</w:t>
      </w:r>
    </w:p>
    <w:p>
      <w:pPr>
        <w:pageBreakBefore w:val="0"/>
        <w:spacing w:after="80" w:line="269" w:lineRule="auto"/>
        <w:ind w:firstLine="397"/>
        <w:jc w:val="both"/>
      </w:pPr>
      <w:r>
        <w:rPr>
          <w:rFonts w:ascii="Times New Roman" w:hAnsi="Times New Roman" w:eastAsia="Times New Roman"/>
          <w:b w:val="0"/>
          <w:i w:val="0"/>
          <w:color w:val="20252B"/>
          <w:sz w:val="20"/>
        </w:rPr>
        <w:t>Settlement is assumed not to be continuous, but focal: for each cylinder, 12 settlements of 40–45 thousand inhabitants are provided. For the general map, a grid of three longitudinal stripes and four azimuthal sectors is introduced. Preliminary coordinates of the longitudinal stripes are x = 5, 13 and 20 km from the beginning of the cylindrical part; node azimuths - 0°, 90°, 180° and 270°. All nodes are located in climate zones I–II. One node accounts for approximately 15.75 km² of buildings, 57.6 km² of farmland, 20.9 km² of forests and parks and 10.5 km² of reservoirs and technical areas. The internal network includes four longitudinal highways, nine ring lines, a freight bypass and underground utility sewers.</w:t>
      </w:r>
    </w:p>
    <w:p>
      <w:pPr>
        <w:pageBreakBefore w:val="0"/>
        <w:spacing w:after="80" w:line="269" w:lineRule="auto"/>
        <w:ind w:firstLine="397"/>
        <w:jc w:val="both"/>
      </w:pPr>
      <w:r>
        <w:rPr>
          <w:rFonts w:ascii="Times New Roman" w:hAnsi="Times New Roman" w:eastAsia="Times New Roman"/>
          <w:b w:val="0"/>
          <w:i w:val="0"/>
          <w:color w:val="20252B"/>
          <w:sz w:val="20"/>
        </w:rPr>
        <w:t>The number of storeys is limited to five floors. The limitation is not aesthetic: the weight decreases with height in inverse proportion to the radius, and at a height of 100 m the weight is 2% less, which is imperceptible, but at a height of 500 m it is already 10%, which creates a difference in conditions between the floors of the same building. In addition, high buildings block the light from the axial beam to neighboring blocks, since the source is not located at the zenith, but along the entire axis.</w:t>
      </w:r>
    </w:p>
    <w:p>
      <w:pPr>
        <w:pageBreakBefore w:val="0"/>
        <w:spacing w:after="80" w:line="269" w:lineRule="auto"/>
        <w:ind w:firstLine="397"/>
        <w:jc w:val="both"/>
      </w:pPr>
      <w:r>
        <w:rPr>
          <w:rFonts w:ascii="Times New Roman" w:hAnsi="Times New Roman" w:eastAsia="Times New Roman"/>
          <w:b w:val="0"/>
          <w:i w:val="0"/>
          <w:color w:val="20252B"/>
          <w:sz w:val="20"/>
        </w:rPr>
        <w:t>View up. The peculiarity of the station is that the opposite side of the cylinder is visible overhead at a distance of 10 km. This circumstance does not create technical difficulties, but is the main feature of the environment and is taken into account in the planning: settlements are located offset around the circumference so that fields and forests are above the residential areas, and not the neighbors’ windows.</w:t>
      </w:r>
    </w:p>
    <w:p>
      <w:pPr>
        <w:pStyle w:val="Heading3"/>
        <w:keepNext/>
        <w:pageBreakBefore w:val="0"/>
        <w:spacing w:after="40"/>
        <w:jc w:val="left"/>
      </w:pPr>
      <w:r>
        <w:rPr>
          <w:rFonts w:ascii="Times New Roman" w:hAnsi="Times New Roman" w:eastAsia="Times New Roman"/>
          <w:b w:val="0"/>
          <w:i w:val="0"/>
          <w:color w:val="20252B"/>
          <w:sz w:val="20"/>
        </w:rPr>
        <w:t>12.5.1. Coordinate base of the internal map of settlements</w:t>
      </w:r>
    </w:p>
    <w:p>
      <w:pPr>
        <w:pageBreakBefore w:val="0"/>
        <w:spacing w:after="80" w:line="269" w:lineRule="auto"/>
        <w:ind w:firstLine="397"/>
        <w:jc w:val="both"/>
      </w:pPr>
      <w:r>
        <w:rPr>
          <w:rFonts w:ascii="Times New Roman" w:hAnsi="Times New Roman" w:eastAsia="Times New Roman"/>
          <w:b w:val="0"/>
          <w:i w:val="0"/>
          <w:color w:val="20252B"/>
          <w:sz w:val="20"/>
        </w:rPr>
        <w:t>For the first master plan, each cylinder is divided into 12 urban nodes: three longitudinal stripes x = 5, 13 and 20 km and four azimuthal sectors φ = 0°, 90°, 180° and 270°. The nodes are connected by four longitudinal highways and nine ring lines with a pitch of about 5 km along the axis. The external entrance from corridors A and B connects to the two forward transfer nodes; the cargo flow has a separate bypass.</w:t>
      </w:r>
    </w:p>
    <w:p>
      <w:pPr>
        <w:pageBreakBefore w:val="0"/>
        <w:spacing w:after="80" w:line="269" w:lineRule="auto"/>
        <w:ind w:firstLine="397"/>
        <w:jc w:val="both"/>
      </w:pPr>
      <w:r>
        <w:rPr>
          <w:rFonts w:ascii="Times New Roman" w:hAnsi="Times New Roman" w:eastAsia="Times New Roman"/>
          <w:b w:val="0"/>
          <w:i w:val="0"/>
          <w:color w:val="20252B"/>
          <w:sz w:val="20"/>
        </w:rPr>
        <w:t>The area of one node as a first approximation: 15.75 km² of buildings, 57.6 km² of farmland, 20.9 km² of forests and parks and 10.5 km² of reservoirs and technical areas. This is a zoning map and not the final layout of individual buildings; Accurate tracing of networks and neighborhood boundaries remains the next step.</w:t>
      </w:r>
    </w:p>
    <w:p>
      <w:pPr>
        <w:pStyle w:val="Heading2"/>
        <w:keepNext/>
        <w:pageBreakBefore w:val="0"/>
        <w:spacing w:after="40"/>
        <w:jc w:val="left"/>
      </w:pPr>
      <w:r>
        <w:rPr>
          <w:rFonts w:ascii="Times New Roman" w:hAnsi="Times New Roman" w:eastAsia="Times New Roman"/>
          <w:b w:val="0"/>
          <w:i w:val="0"/>
          <w:color w:val="20252B"/>
          <w:sz w:val="20"/>
        </w:rPr>
        <w:t>12.6. Water supply and sewerage</w:t>
      </w:r>
    </w:p>
    <w:p>
      <w:pPr>
        <w:pageBreakBefore w:val="0"/>
        <w:spacing w:after="80" w:line="269" w:lineRule="auto"/>
        <w:ind w:firstLine="397"/>
        <w:jc w:val="both"/>
      </w:pPr>
      <w:r>
        <w:rPr>
          <w:rFonts w:ascii="Times New Roman" w:hAnsi="Times New Roman" w:eastAsia="Times New Roman"/>
          <w:b w:val="0"/>
          <w:i w:val="0"/>
          <w:color w:val="20252B"/>
          <w:sz w:val="20"/>
        </w:rPr>
        <w:t>A water flow of 200,000 m³ per day per station (200 liters per person) corresponds to a second flow of 2.31 m³/s. A main conduit with a diameter of 1.5 m carries this flow at a flow speed of 1.31 m/s, which corresponds to normal practice. Water pipelines are laid in ring collectors at a depth of 3 m below the soil surface, along the routes of the ring lines.</w:t>
      </w:r>
    </w:p>
    <w:p>
      <w:pPr>
        <w:pageBreakBefore w:val="0"/>
        <w:spacing w:after="80" w:line="269" w:lineRule="auto"/>
        <w:ind w:firstLine="397"/>
        <w:jc w:val="both"/>
      </w:pPr>
      <w:r>
        <w:rPr>
          <w:rFonts w:ascii="Times New Roman" w:hAnsi="Times New Roman" w:eastAsia="Times New Roman"/>
          <w:b w:val="0"/>
          <w:i w:val="0"/>
          <w:color w:val="20252B"/>
          <w:sz w:val="20"/>
        </w:rPr>
        <w:t>The pressure is created not by towers, but by pumps: a water tower in a cylinder is meaningless, since rising to the axis means a decrease in gravity and, therefore, a decrease in the pressure of the column, and not its increase. The design pressure in the network of 4 bar is maintained by pumping stations included in Article 96 GW of the energy balance (clause 4.15). Wastewater of 73.05 million m³ per year is sent for biological treatment and returned to circulation with a regeneration depth of 98% (clause 11.8).</w:t>
      </w:r>
    </w:p>
    <w:p>
      <w:pPr>
        <w:pageBreakBefore w:val="0"/>
        <w:spacing w:after="80" w:line="269" w:lineRule="auto"/>
        <w:ind w:firstLine="397"/>
        <w:jc w:val="both"/>
      </w:pPr>
      <w:r>
        <w:rPr>
          <w:rFonts w:ascii="Times New Roman" w:hAnsi="Times New Roman" w:eastAsia="Times New Roman"/>
          <w:b w:val="0"/>
          <w:i w:val="0"/>
          <w:color w:val="20252B"/>
          <w:sz w:val="20"/>
        </w:rPr>
        <w:t>Open reservoirs with a total area of 0.162 km² per cylinder (item B.13) act not as reservoirs, but as environmental elements and biological treatment sites; their bottom is not deepened into the force belt according to the accepted layout of reservoirs.</w:t>
      </w:r>
    </w:p>
    <w:p>
      <w:pPr>
        <w:pStyle w:val="Heading2"/>
        <w:keepNext/>
        <w:pageBreakBefore w:val="0"/>
        <w:spacing w:after="40"/>
        <w:jc w:val="left"/>
      </w:pPr>
      <w:r>
        <w:rPr>
          <w:rFonts w:ascii="Times New Roman" w:hAnsi="Times New Roman" w:eastAsia="Times New Roman"/>
          <w:b w:val="0"/>
          <w:i w:val="0"/>
          <w:color w:val="20252B"/>
          <w:sz w:val="20"/>
        </w:rPr>
        <w:t>12.7. Electrical supply inside the cylinder</w:t>
      </w:r>
    </w:p>
    <w:p>
      <w:pPr>
        <w:pageBreakBefore w:val="0"/>
        <w:spacing w:after="80" w:line="269" w:lineRule="auto"/>
        <w:ind w:firstLine="397"/>
        <w:jc w:val="both"/>
      </w:pPr>
      <w:r>
        <w:rPr>
          <w:rFonts w:ascii="Times New Roman" w:hAnsi="Times New Roman" w:eastAsia="Times New Roman"/>
          <w:b w:val="0"/>
          <w:i w:val="0"/>
          <w:color w:val="20252B"/>
          <w:sz w:val="20"/>
        </w:rPr>
        <w:t>The domestic, transport and industrial load is 6 GW per station, that is, 3 GW per cylinder, with a total station capacity of 721 GW (clause 4.15). The main power is consumed by axial light-thermal beams and heat pumps, that is, the systems of the structure itself, and not its inhabitants.</w:t>
      </w:r>
    </w:p>
    <w:p>
      <w:pPr>
        <w:pageBreakBefore w:val="0"/>
        <w:spacing w:after="80" w:line="269" w:lineRule="auto"/>
        <w:ind w:firstLine="397"/>
        <w:jc w:val="both"/>
      </w:pPr>
      <w:r>
        <w:rPr>
          <w:rFonts w:ascii="Times New Roman" w:hAnsi="Times New Roman" w:eastAsia="Times New Roman"/>
          <w:b w:val="0"/>
          <w:i w:val="0"/>
          <w:color w:val="20252B"/>
          <w:sz w:val="20"/>
        </w:rPr>
        <w:t>The transmission inside the cylinder is carried out from the reactor units on the fixed rear frame through two independent power inputs to the fixed stator of the bearing assembly. Through a sealed rotating current junction or a contactless inductive coupling, power is supplied to the internal distribution busbars of the cylinder; separate inputs power two independent magnetic circuits, motor-generators, sensors, hermetic junction pumps, four transport channels and their emergency systems. The preliminary energy balance quota for bearing units, drives and power electronics is 2 GW; the source is the reactor bus, not the solar wings.</w:t>
      </w:r>
    </w:p>
    <w:p>
      <w:pPr>
        <w:pageBreakBefore w:val="0"/>
        <w:spacing w:after="80" w:line="269" w:lineRule="auto"/>
        <w:ind w:firstLine="397"/>
        <w:jc w:val="both"/>
      </w:pPr>
      <w:r>
        <w:rPr>
          <w:rFonts w:ascii="Times New Roman" w:hAnsi="Times New Roman" w:eastAsia="Times New Roman"/>
          <w:b w:val="0"/>
          <w:i w:val="0"/>
          <w:color w:val="20252B"/>
          <w:sz w:val="20"/>
        </w:rPr>
        <w:t>Reservation. Complete de-energization of the cylinder means the cessation of lighting and ventilation, so power is provided through two independent inputs from different reactors, and critical consumers - life support, mine transport, pumps - receive a third input from battery substations with a reserve of 6 hours. Note that the oxygen reserve in the volume of the cylinder is measured in years (section 4.4), so stopping ventilation is dangerous not due to suffocation, but due to a violation of temperature stratification.</w:t>
      </w:r>
    </w:p>
    <w:p>
      <w:pPr>
        <w:pStyle w:val="Heading2"/>
        <w:keepNext/>
        <w:pageBreakBefore w:val="0"/>
        <w:spacing w:after="40"/>
        <w:jc w:val="left"/>
      </w:pPr>
      <w:r>
        <w:rPr>
          <w:rFonts w:ascii="Times New Roman" w:hAnsi="Times New Roman" w:eastAsia="Times New Roman"/>
          <w:b w:val="0"/>
          <w:i w:val="0"/>
          <w:color w:val="20252B"/>
          <w:sz w:val="20"/>
        </w:rPr>
        <w:t>12.8. Ecology of a closed volume</w:t>
      </w:r>
    </w:p>
    <w:p>
      <w:pPr>
        <w:pageBreakBefore w:val="0"/>
        <w:spacing w:after="80" w:line="269" w:lineRule="auto"/>
        <w:ind w:firstLine="397"/>
        <w:jc w:val="both"/>
      </w:pPr>
      <w:r>
        <w:rPr>
          <w:rFonts w:ascii="Times New Roman" w:hAnsi="Times New Roman" w:eastAsia="Times New Roman"/>
          <w:b w:val="0"/>
          <w:i w:val="0"/>
          <w:color w:val="20252B"/>
          <w:sz w:val="20"/>
        </w:rPr>
        <w:t>The concept of “pollution” in a closed system has a different meaning than on Earth: there is nowhere to eject a substance, any emission remains inside a volume of 3,613 km³ and sooner or later returns to people with air, water or food. Hence the three prohibitions included in design decisions as unconditional.</w:t>
      </w:r>
    </w:p>
    <w:p>
      <w:pPr>
        <w:pageBreakBefore w:val="0"/>
        <w:spacing w:after="80" w:line="269" w:lineRule="auto"/>
        <w:ind w:firstLine="397"/>
        <w:jc w:val="both"/>
      </w:pPr>
      <w:r>
        <w:rPr>
          <w:rFonts w:ascii="Times New Roman" w:hAnsi="Times New Roman" w:eastAsia="Times New Roman"/>
          <w:b w:val="0"/>
          <w:i w:val="0"/>
          <w:color w:val="20252B"/>
          <w:sz w:val="20"/>
        </w:rPr>
        <w:t>First: a ban on combustion processes in habitable volumes, except for controlled combustion of waste in closed installations with product capture (clause 11.2). Second: a ban on the use of substances that do not have a return path to the cycle - persistent organic compounds, heavy metals in dispersed form, organofluorine. Third: a ban on dumping anything overboard, since every kilogram of substance is delivered from asteroids at the cost of the main costs of the program.</w:t>
      </w:r>
    </w:p>
    <w:p>
      <w:pPr>
        <w:pageBreakBefore w:val="0"/>
        <w:spacing w:after="80" w:line="269" w:lineRule="auto"/>
        <w:ind w:firstLine="397"/>
        <w:jc w:val="both"/>
      </w:pPr>
      <w:r>
        <w:rPr>
          <w:rFonts w:ascii="Times New Roman" w:hAnsi="Times New Roman" w:eastAsia="Times New Roman"/>
          <w:b w:val="0"/>
          <w:i w:val="0"/>
          <w:color w:val="20252B"/>
          <w:sz w:val="20"/>
        </w:rPr>
        <w:t>The composition of the atmosphere is monitored continuously; with a volume of 3,613 km³ and an atmospheric mass of 3.77 billion tons, any local pollution is diluted to safe concentrations, but is also removed slowly - the typical mixing time is several days, the cleaning time through the regeneration system is months. Therefore, the emphasis is on prevention rather than cleanup.</w:t>
      </w:r>
    </w:p>
    <w:p>
      <w:pPr>
        <w:pageBreakBefore w:val="0"/>
        <w:spacing w:after="80" w:line="269" w:lineRule="auto"/>
        <w:ind w:firstLine="397"/>
        <w:jc w:val="both"/>
      </w:pPr>
      <w:r>
        <w:rPr>
          <w:rFonts w:ascii="Times New Roman" w:hAnsi="Times New Roman" w:eastAsia="Times New Roman"/>
          <w:b w:val="0"/>
          <w:i w:val="0"/>
          <w:color w:val="20252B"/>
          <w:sz w:val="20"/>
        </w:rPr>
        <w:t>Biological diversity is maintained intentionally: soil biota, pollinators, and natural enemies of pests are introduced and taken into account along with crops (clauses 7.2, 9.4). The species composition and abundance of soil biota have not yet been calculated; this is an open task.</w:t>
      </w:r>
    </w:p>
    <w:p/>
    <w:p>
      <w:pPr>
        <w:spacing w:before="200"/>
        <w:jc w:val="center"/>
      </w:pPr>
      <w:r>
        <w:rPr>
          <w:b/>
          <w:color w:val="2E5496"/>
          <w:sz w:val="17"/>
        </w:rPr>
        <w:t>СПИСОК ЛИТЕРАТУРЫ РАЗДЕЛА / REFERENCES OF THIS SECTION</w:t>
      </w:r>
    </w:p>
    <w:p>
      <w:r>
        <w:rPr>
          <w:b/>
          <w:sz w:val="18"/>
        </w:rPr>
        <w:t>Кроме того, раздел опирается на собственные допущения публикации:</w:t>
      </w:r>
    </w:p>
    <w:p>
      <w:pPr>
        <w:ind w:left="340" w:hanging="340"/>
      </w:pPr>
      <w:r>
        <w:rPr>
          <w:sz w:val="18"/>
        </w:rPr>
        <w:t>· Транспорт и стыковка: осевые рамы, цапфы, подшипниковые корпуса и переходные шахты являются концептуальной архитектурой.</w:t>
      </w:r>
    </w:p>
    <w:p>
      <w:pPr>
        <w:ind w:left="340" w:hanging="340"/>
      </w:pPr>
      <w:r>
        <w:rPr>
          <w:sz w:val="18"/>
        </w:rPr>
        <w:t>· Transport and docking: axial frames, trunnions, bearing housings and transition shafts are conceptual architecture.</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